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2413078</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ATG</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8.10.4</w:t>
      </w:r>
      <w:bookmarkStart w:id="1" w:name="_GoBack"/>
      <w:bookmarkEnd w:id="1"/>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103 meeting</w:t>
      </w:r>
      <w:r>
        <w:rPr>
          <w:rFonts w:hint="default" w:ascii="Arial" w:hAnsi="Arial" w:cs="Arial"/>
          <w:lang w:val="en-US" w:eastAsia="zh-CN"/>
        </w:rPr>
        <w:t xml:space="preserve">, </w:t>
      </w:r>
      <w:r>
        <w:rPr>
          <w:rFonts w:hint="eastAsia" w:cs="Arial"/>
          <w:lang w:val="en-US" w:eastAsia="zh-CN"/>
        </w:rPr>
        <w:t xml:space="preserve">a R19 WI led by RAN4 on NR Rel-19 ATG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kinsoku/>
              <w:wordWrap/>
              <w:topLinePunct w:val="0"/>
              <w:bidi w:val="0"/>
              <w:snapToGrid/>
              <w:spacing w:line="240" w:lineRule="auto"/>
              <w:rPr>
                <w:rFonts w:hint="eastAsia"/>
                <w:lang w:eastAsia="zh-CN"/>
              </w:rPr>
            </w:pPr>
            <w:r>
              <w:rPr>
                <w:rFonts w:hint="eastAsia"/>
                <w:lang w:eastAsia="zh-CN"/>
              </w:rPr>
              <w:t>T</w:t>
            </w:r>
            <w:r>
              <w:rPr>
                <w:lang w:eastAsia="zh-CN"/>
              </w:rPr>
              <w:t>he core part of the work item includes:</w:t>
            </w:r>
          </w:p>
          <w:p>
            <w:pPr>
              <w:pStyle w:val="29"/>
              <w:pageBreakBefore w:val="0"/>
              <w:widowControl w:val="0"/>
              <w:numPr>
                <w:ilvl w:val="0"/>
                <w:numId w:val="5"/>
              </w:numPr>
              <w:kinsoku/>
              <w:wordWrap/>
              <w:topLinePunct w:val="0"/>
              <w:bidi w:val="0"/>
              <w:snapToGrid/>
              <w:spacing w:after="0" w:line="240" w:lineRule="auto"/>
              <w:rPr>
                <w:rFonts w:eastAsia="DengXian"/>
                <w:lang w:eastAsia="zh-CN"/>
              </w:rPr>
            </w:pPr>
            <w:r>
              <w:rPr>
                <w:rFonts w:eastAsia="DengXian"/>
                <w:lang w:eastAsia="zh-CN"/>
              </w:rPr>
              <w:t>Specify the RF and RRM core requirements for intra-band co-located and inter-band co-located DL CA</w:t>
            </w:r>
            <w:r>
              <w:rPr>
                <w:rFonts w:hint="eastAsia" w:eastAsia="DengXian"/>
                <w:lang w:eastAsia="zh-CN"/>
              </w:rPr>
              <w:t xml:space="preserve"> [RAN4]</w:t>
            </w:r>
            <w:r>
              <w:rPr>
                <w:rFonts w:eastAsia="DengXian"/>
                <w:lang w:eastAsia="zh-CN"/>
              </w:rPr>
              <w:t>:</w:t>
            </w:r>
            <w:r>
              <w:rPr>
                <w:rFonts w:hint="eastAsia" w:eastAsia="DengXian"/>
                <w:lang w:val="en-US" w:eastAsia="zh-CN"/>
              </w:rPr>
              <w:t xml:space="preserve"> </w:t>
            </w:r>
            <w:r>
              <w:rPr>
                <w:rFonts w:hint="eastAsia" w:eastAsia="DengXian"/>
                <w:color w:val="0000FF"/>
                <w:lang w:val="en-US" w:eastAsia="zh-CN"/>
              </w:rPr>
              <w:t xml:space="preserve"> </w:t>
            </w:r>
          </w:p>
          <w:p>
            <w:pPr>
              <w:pStyle w:val="29"/>
              <w:pageBreakBefore w:val="0"/>
              <w:widowControl w:val="0"/>
              <w:numPr>
                <w:ilvl w:val="1"/>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eastAsia="DengXian"/>
                <w:lang w:eastAsia="zh-CN"/>
              </w:rPr>
              <w:t>FR1 intra-band contiguous CA</w:t>
            </w:r>
          </w:p>
          <w:p>
            <w:pPr>
              <w:pStyle w:val="29"/>
              <w:pageBreakBefore w:val="0"/>
              <w:widowControl w:val="0"/>
              <w:numPr>
                <w:ilvl w:val="2"/>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hint="eastAsia" w:eastAsia="DengXian"/>
                <w:lang w:eastAsia="zh-CN"/>
              </w:rPr>
              <w:t>Example band combination: n79</w:t>
            </w:r>
          </w:p>
          <w:p>
            <w:pPr>
              <w:pStyle w:val="29"/>
              <w:pageBreakBefore w:val="0"/>
              <w:widowControl w:val="0"/>
              <w:numPr>
                <w:ilvl w:val="1"/>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eastAsia="DengXian"/>
                <w:lang w:eastAsia="zh-CN"/>
              </w:rPr>
              <w:t>FR1+FR1 inter-band CA</w:t>
            </w:r>
          </w:p>
          <w:p>
            <w:pPr>
              <w:pStyle w:val="29"/>
              <w:pageBreakBefore w:val="0"/>
              <w:widowControl w:val="0"/>
              <w:numPr>
                <w:ilvl w:val="2"/>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hint="eastAsia" w:eastAsia="DengXian"/>
                <w:lang w:eastAsia="zh-CN"/>
              </w:rPr>
              <w:t>Example band combination: n3+n39</w:t>
            </w:r>
            <w:r>
              <w:rPr>
                <w:rFonts w:hint="eastAsia"/>
                <w:lang w:val="en-US" w:eastAsia="zh-CN"/>
              </w:rPr>
              <w:t xml:space="preserve"> </w:t>
            </w:r>
          </w:p>
          <w:p>
            <w:pPr>
              <w:pStyle w:val="29"/>
              <w:pageBreakBefore w:val="0"/>
              <w:widowControl w:val="0"/>
              <w:numPr>
                <w:ilvl w:val="0"/>
                <w:numId w:val="5"/>
              </w:numPr>
              <w:kinsoku/>
              <w:wordWrap/>
              <w:topLinePunct w:val="0"/>
              <w:bidi w:val="0"/>
              <w:snapToGrid/>
              <w:spacing w:after="0" w:line="240" w:lineRule="auto"/>
            </w:pPr>
            <w:r>
              <w:rPr>
                <w:rFonts w:eastAsia="DengXian"/>
                <w:lang w:eastAsia="zh-CN"/>
              </w:rPr>
              <w:t>Specify the RF requirements for support of UL MIMO with 2TX for single CC for UE.</w:t>
            </w:r>
            <w:r>
              <w:rPr>
                <w:rFonts w:hint="eastAsia" w:eastAsia="DengXian"/>
                <w:lang w:eastAsia="zh-CN"/>
              </w:rPr>
              <w:t xml:space="preserve"> [RAN4]</w:t>
            </w:r>
            <w:r>
              <w:rPr>
                <w:rFonts w:hint="eastAsia" w:eastAsia="DengXian"/>
                <w:lang w:val="en-US" w:eastAsia="zh-CN"/>
              </w:rPr>
              <w:t xml:space="preserve"> </w:t>
            </w:r>
          </w:p>
          <w:p>
            <w:pPr>
              <w:pStyle w:val="29"/>
              <w:pageBreakBefore w:val="0"/>
              <w:widowControl w:val="0"/>
              <w:numPr>
                <w:ilvl w:val="0"/>
                <w:numId w:val="5"/>
              </w:numPr>
              <w:kinsoku/>
              <w:wordWrap/>
              <w:topLinePunct w:val="0"/>
              <w:bidi w:val="0"/>
              <w:snapToGrid/>
              <w:spacing w:after="0" w:line="240" w:lineRule="auto"/>
              <w:rPr>
                <w:rFonts w:hint="eastAsia" w:ascii="Arial" w:hAnsi="Arial" w:cs="Arial"/>
                <w:sz w:val="20"/>
                <w:szCs w:val="20"/>
                <w:u w:val="none"/>
                <w:lang w:val="en-US" w:eastAsia="zh-CN"/>
              </w:rPr>
            </w:pPr>
            <w:r>
              <w:rPr>
                <w:rFonts w:hint="eastAsia" w:eastAsia="DengXian"/>
                <w:lang w:eastAsia="zh-CN"/>
              </w:rPr>
              <w:t>Specify signaling and UE capabilities if necessary [RAN2].</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Two main purpose behind the objectives are 1) Enhance throughput to meet ATG capacity demand; 2) Fully utilize operators</w:t>
      </w:r>
      <w:r>
        <w:rPr>
          <w:rFonts w:hint="default" w:cs="Arial"/>
          <w:lang w:val="en-US" w:eastAsia="zh-CN"/>
        </w:rPr>
        <w:t>’</w:t>
      </w:r>
      <w:r>
        <w:rPr>
          <w:rFonts w:hint="eastAsia" w:cs="Arial"/>
          <w:lang w:val="en-US" w:eastAsia="zh-CN"/>
        </w:rPr>
        <w:t xml:space="preserve"> spectrum especially for the fragment spectrum.</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R19 ATG is the continuation and extension of R18 ATG. During R18 ATG, RAN4 has studied and specified a set of RF and RRM solutions and requirements to contribute to the commercial application of providing stable wireless transmission for the aircraft. R18 progress is deemed as the basis of R19 further extension.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This meeting would kick off the R19 ATG discussion on RRM session. So we provide some high-level general discussion from the RRM aspects around the R19 objectives.</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default"/>
          <w:lang w:val="en-US" w:eastAsia="zh-CN"/>
        </w:rPr>
      </w:pPr>
      <w:r>
        <w:rPr>
          <w:rFonts w:hint="eastAsia"/>
          <w:lang w:val="en-US" w:eastAsia="zh-CN"/>
        </w:rPr>
        <w:t>From the perspective of RRM, compared with R18 ATG, the main new feature of R19 ATG is the support of FR1 intra-band/inter-band co-located DL CA. Around this new feature, we listed the following candidates to identify whether potential enhancements necessary in R19. We would discuss based on such framework.</w:t>
      </w:r>
    </w:p>
    <w:p>
      <w:pPr>
        <w:pStyle w:val="9"/>
        <w:numPr>
          <w:ilvl w:val="0"/>
          <w:numId w:val="6"/>
        </w:numPr>
        <w:bidi w:val="0"/>
        <w:ind w:left="420" w:leftChars="0" w:hanging="420" w:firstLineChars="0"/>
        <w:rPr>
          <w:rFonts w:hint="default"/>
          <w:lang w:val="en-US" w:eastAsia="zh-CN"/>
        </w:rPr>
      </w:pPr>
      <w:r>
        <w:rPr>
          <w:rFonts w:hint="eastAsia"/>
          <w:lang w:val="en-US" w:eastAsia="zh-CN"/>
        </w:rPr>
        <w:t>CONNECTED mode measurement</w:t>
      </w:r>
    </w:p>
    <w:p>
      <w:pPr>
        <w:pStyle w:val="9"/>
        <w:numPr>
          <w:ilvl w:val="0"/>
          <w:numId w:val="7"/>
        </w:numPr>
        <w:bidi w:val="0"/>
        <w:ind w:left="840" w:leftChars="0" w:hanging="420" w:firstLineChars="0"/>
        <w:rPr>
          <w:rFonts w:hint="default"/>
          <w:lang w:val="en-US" w:eastAsia="zh-CN"/>
        </w:rPr>
      </w:pPr>
      <w:r>
        <w:rPr>
          <w:rFonts w:hint="default"/>
          <w:lang w:val="en-US" w:eastAsia="zh-CN"/>
        </w:rPr>
        <w:t>Impact on N due to co-located CA</w:t>
      </w:r>
    </w:p>
    <w:p>
      <w:pPr>
        <w:pStyle w:val="9"/>
        <w:numPr>
          <w:ilvl w:val="0"/>
          <w:numId w:val="7"/>
        </w:numPr>
        <w:bidi w:val="0"/>
        <w:ind w:left="840" w:leftChars="0" w:hanging="420" w:firstLineChars="0"/>
        <w:rPr>
          <w:rFonts w:hint="default"/>
          <w:lang w:val="en-US" w:eastAsia="zh-CN"/>
        </w:rPr>
      </w:pPr>
      <w:r>
        <w:rPr>
          <w:rFonts w:hint="eastAsia"/>
          <w:lang w:val="en-US" w:eastAsia="zh-CN"/>
        </w:rPr>
        <w:t>CSSF calculation, cell number, SSB number</w:t>
      </w:r>
    </w:p>
    <w:p>
      <w:pPr>
        <w:pStyle w:val="9"/>
        <w:numPr>
          <w:ilvl w:val="0"/>
          <w:numId w:val="7"/>
        </w:numPr>
        <w:bidi w:val="0"/>
        <w:ind w:left="840" w:leftChars="0" w:hanging="420" w:firstLineChars="0"/>
        <w:rPr>
          <w:rFonts w:hint="default"/>
          <w:lang w:val="en-US" w:eastAsia="zh-CN"/>
        </w:rPr>
      </w:pPr>
      <w:r>
        <w:rPr>
          <w:rFonts w:hint="default"/>
          <w:lang w:val="en-US" w:eastAsia="zh-CN"/>
        </w:rPr>
        <w:t>Activated SCell &amp; deactivated SCell measurement</w:t>
      </w:r>
    </w:p>
    <w:p>
      <w:pPr>
        <w:pStyle w:val="9"/>
        <w:numPr>
          <w:ilvl w:val="0"/>
          <w:numId w:val="6"/>
        </w:numPr>
        <w:bidi w:val="0"/>
        <w:ind w:left="420" w:leftChars="0" w:hanging="420" w:firstLineChars="0"/>
        <w:rPr>
          <w:rFonts w:hint="default"/>
          <w:lang w:val="en-US" w:eastAsia="zh-CN"/>
        </w:rPr>
      </w:pPr>
      <w:r>
        <w:rPr>
          <w:rFonts w:hint="eastAsia"/>
          <w:lang w:val="en-US" w:eastAsia="zh-CN"/>
        </w:rPr>
        <w:t>IDLE/INACTIVE mode measurement</w:t>
      </w:r>
    </w:p>
    <w:p>
      <w:pPr>
        <w:pStyle w:val="9"/>
        <w:numPr>
          <w:ilvl w:val="0"/>
          <w:numId w:val="7"/>
        </w:numPr>
        <w:bidi w:val="0"/>
        <w:ind w:left="840" w:leftChars="0" w:hanging="420" w:firstLineChars="0"/>
        <w:rPr>
          <w:rFonts w:hint="default"/>
          <w:lang w:val="en-US" w:eastAsia="zh-CN"/>
        </w:rPr>
      </w:pPr>
      <w:r>
        <w:rPr>
          <w:rFonts w:hint="eastAsia"/>
          <w:lang w:val="en-US" w:eastAsia="zh-CN"/>
        </w:rPr>
        <w:t>EMR</w:t>
      </w:r>
    </w:p>
    <w:p>
      <w:pPr>
        <w:pStyle w:val="9"/>
        <w:numPr>
          <w:ilvl w:val="0"/>
          <w:numId w:val="6"/>
        </w:numPr>
        <w:bidi w:val="0"/>
        <w:ind w:left="420" w:leftChars="0" w:hanging="420" w:firstLineChars="0"/>
        <w:rPr>
          <w:rFonts w:hint="default"/>
          <w:lang w:val="en-US" w:eastAsia="zh-CN"/>
        </w:rPr>
      </w:pPr>
      <w:r>
        <w:rPr>
          <w:rFonts w:hint="eastAsia"/>
          <w:lang w:val="en-US" w:eastAsia="zh-CN"/>
        </w:rPr>
        <w:t>CONNECTED mode mobility</w:t>
      </w:r>
    </w:p>
    <w:p>
      <w:pPr>
        <w:pStyle w:val="9"/>
        <w:numPr>
          <w:ilvl w:val="0"/>
          <w:numId w:val="7"/>
        </w:numPr>
        <w:bidi w:val="0"/>
        <w:ind w:left="840" w:leftChars="0" w:hanging="420" w:firstLineChars="0"/>
        <w:rPr>
          <w:rFonts w:hint="default"/>
          <w:lang w:val="en-US" w:eastAsia="zh-CN"/>
        </w:rPr>
      </w:pPr>
      <w:r>
        <w:rPr>
          <w:rFonts w:hint="eastAsia"/>
          <w:lang w:val="en-US" w:eastAsia="zh-CN"/>
        </w:rPr>
        <w:t>Handover/CHO</w:t>
      </w:r>
    </w:p>
    <w:p>
      <w:pPr>
        <w:pStyle w:val="9"/>
        <w:numPr>
          <w:ilvl w:val="0"/>
          <w:numId w:val="6"/>
        </w:numPr>
        <w:bidi w:val="0"/>
        <w:ind w:left="420" w:leftChars="0" w:hanging="420" w:firstLineChars="0"/>
        <w:rPr>
          <w:rFonts w:hint="default"/>
          <w:lang w:val="en-US" w:eastAsia="zh-CN"/>
        </w:rPr>
      </w:pPr>
      <w:r>
        <w:rPr>
          <w:rFonts w:hint="eastAsia"/>
          <w:lang w:val="en-US" w:eastAsia="zh-CN"/>
        </w:rPr>
        <w:t>Signalling Characteristics</w:t>
      </w:r>
    </w:p>
    <w:p>
      <w:pPr>
        <w:pStyle w:val="9"/>
        <w:numPr>
          <w:ilvl w:val="0"/>
          <w:numId w:val="7"/>
        </w:numPr>
        <w:bidi w:val="0"/>
        <w:ind w:left="840" w:leftChars="0" w:hanging="420" w:firstLineChars="0"/>
        <w:rPr>
          <w:rFonts w:hint="default"/>
          <w:lang w:val="en-US" w:eastAsia="zh-CN"/>
        </w:rPr>
      </w:pPr>
      <w:r>
        <w:rPr>
          <w:rFonts w:hint="eastAsia"/>
          <w:lang w:val="en-US" w:eastAsia="zh-CN"/>
        </w:rPr>
        <w:t>SCell addition/release</w:t>
      </w:r>
    </w:p>
    <w:p>
      <w:pPr>
        <w:pStyle w:val="9"/>
        <w:numPr>
          <w:ilvl w:val="0"/>
          <w:numId w:val="7"/>
        </w:numPr>
        <w:bidi w:val="0"/>
        <w:ind w:left="840" w:leftChars="0" w:hanging="420" w:firstLineChars="0"/>
        <w:rPr>
          <w:rFonts w:hint="default"/>
          <w:lang w:val="en-US" w:eastAsia="zh-CN"/>
        </w:rPr>
      </w:pPr>
      <w:r>
        <w:rPr>
          <w:rFonts w:hint="eastAsia"/>
          <w:lang w:val="en-US" w:eastAsia="zh-CN"/>
        </w:rPr>
        <w:t>SCell activation/deactivation</w:t>
      </w:r>
    </w:p>
    <w:p>
      <w:pPr>
        <w:pStyle w:val="9"/>
        <w:numPr>
          <w:ilvl w:val="0"/>
          <w:numId w:val="7"/>
        </w:numPr>
        <w:bidi w:val="0"/>
        <w:ind w:left="840" w:leftChars="0" w:hanging="420" w:firstLineChars="0"/>
        <w:rPr>
          <w:rFonts w:hint="default"/>
          <w:lang w:val="en-US" w:eastAsia="zh-CN"/>
        </w:rPr>
      </w:pPr>
      <w:r>
        <w:rPr>
          <w:rFonts w:hint="eastAsia"/>
          <w:lang w:val="en-US" w:eastAsia="zh-CN"/>
        </w:rPr>
        <w:t>Unified TCI state indication for CA</w:t>
      </w:r>
    </w:p>
    <w:p>
      <w:pPr>
        <w:pStyle w:val="3"/>
        <w:numPr>
          <w:ilvl w:val="0"/>
          <w:numId w:val="0"/>
        </w:numPr>
        <w:bidi w:val="0"/>
        <w:ind w:leftChars="0"/>
        <w:rPr>
          <w:lang w:eastAsia="zh-CN"/>
        </w:rPr>
      </w:pPr>
      <w:r>
        <w:rPr>
          <w:rFonts w:hint="eastAsia"/>
          <w:lang w:val="en-US" w:eastAsia="zh-CN"/>
        </w:rPr>
        <w:t>2.1 CONNECTED mode measurement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Impact on beam sweeping factor N due to co-located CA</w:t>
      </w:r>
    </w:p>
    <w:p>
      <w:pPr>
        <w:pStyle w:val="9"/>
        <w:numPr>
          <w:ilvl w:val="0"/>
          <w:numId w:val="0"/>
        </w:numPr>
        <w:bidi w:val="0"/>
        <w:ind w:leftChars="0"/>
        <w:rPr>
          <w:rFonts w:hint="eastAsia"/>
          <w:lang w:val="en-US" w:eastAsia="zh-CN"/>
        </w:rPr>
      </w:pPr>
      <w:r>
        <w:rPr>
          <w:rFonts w:hint="eastAsia"/>
          <w:lang w:val="en-US" w:eastAsia="zh-CN"/>
        </w:rPr>
        <w:t>In R18 ATG, under the assumption of antenna array, Rx beam sweeping factor N similar as legacy FR2 was introduced to obtain beam gain at CPE side. Such factor N is applicable to both with and without network assistance on ATG cells reference locations cases, just with different magnitudes.</w:t>
      </w:r>
    </w:p>
    <w:p>
      <w:pPr>
        <w:pStyle w:val="9"/>
        <w:numPr>
          <w:ilvl w:val="0"/>
          <w:numId w:val="0"/>
        </w:numPr>
        <w:bidi w:val="0"/>
        <w:ind w:leftChars="0"/>
        <w:rPr>
          <w:rFonts w:hint="eastAsia"/>
          <w:lang w:val="en-US" w:eastAsia="zh-CN"/>
        </w:rPr>
      </w:pPr>
      <w:r>
        <w:rPr>
          <w:rFonts w:hint="eastAsia"/>
          <w:lang w:val="en-US" w:eastAsia="zh-CN"/>
        </w:rPr>
        <w:t>Here for co-located CA, regardless contiguous intra-band CA or inter-band CA, multiple serving cells can share same beam direction due to co-located deployment, so it seems no impact on the number of N caused by CA extension, the assumption of N is completely same as R18 single carrier case.</w:t>
      </w:r>
    </w:p>
    <w:p>
      <w:pPr>
        <w:pStyle w:val="9"/>
        <w:bidi w:val="0"/>
        <w:rPr>
          <w:rFonts w:hint="eastAsia"/>
          <w:b/>
          <w:bCs/>
          <w:lang w:val="en-US" w:eastAsia="zh-CN"/>
        </w:rPr>
      </w:pPr>
      <w:r>
        <w:rPr>
          <w:rFonts w:hint="eastAsia"/>
          <w:b/>
          <w:bCs/>
          <w:lang w:val="en-US" w:eastAsia="zh-CN"/>
        </w:rPr>
        <w:t>Observation 1: The extension of co-located CA has no impact on the beam sweeping factor N defined in R18 ATG</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CSSF calculation, cell number, SSB number</w:t>
      </w:r>
    </w:p>
    <w:p>
      <w:pPr>
        <w:pStyle w:val="9"/>
        <w:numPr>
          <w:ilvl w:val="0"/>
          <w:numId w:val="0"/>
        </w:numPr>
        <w:bidi w:val="0"/>
        <w:ind w:leftChars="0"/>
        <w:rPr>
          <w:rFonts w:hint="eastAsia"/>
          <w:lang w:val="en-US" w:eastAsia="zh-CN"/>
        </w:rPr>
      </w:pPr>
      <w:r>
        <w:rPr>
          <w:rFonts w:hint="eastAsia"/>
          <w:lang w:val="en-US" w:eastAsia="zh-CN"/>
        </w:rPr>
        <w:t>In another R19 WID of NR RRM Phase 5, CSSF enhancements is on-going discussed, but the scope of that WID only focus on FR2-1. Here the R19 ATG targets at FR1. Since the supported cell number, SSB number and CSSF calculation are different between FR1 and FR2 in legacy, the assumption of omni-directional antenna is somehow like legacy FR1, whereas the assumption of antenna array is similar as legacy FR2, so we discuss all these aspects for omni-directional antenna and antenna array respectively.</w:t>
      </w:r>
    </w:p>
    <w:p>
      <w:pPr>
        <w:pStyle w:val="9"/>
        <w:bidi w:val="0"/>
        <w:rPr>
          <w:rFonts w:hint="default"/>
          <w:b/>
          <w:bCs/>
          <w:lang w:val="en-US" w:eastAsia="zh-CN"/>
        </w:rPr>
      </w:pPr>
      <w:r>
        <w:rPr>
          <w:rFonts w:hint="eastAsia"/>
          <w:b/>
          <w:bCs/>
          <w:lang w:val="en-US" w:eastAsia="zh-CN"/>
        </w:rPr>
        <w:t>Proposal 1: The discussion on CSSF calculation, supported cell number and SSB number, can be held separately for the assumption of omni-directional antenna and antenna array. The former is legacy FR1 like, and the latter is legacy FR2 like.</w:t>
      </w:r>
    </w:p>
    <w:p>
      <w:pPr>
        <w:pStyle w:val="9"/>
        <w:numPr>
          <w:ilvl w:val="0"/>
          <w:numId w:val="0"/>
        </w:numPr>
        <w:bidi w:val="0"/>
        <w:ind w:leftChars="0"/>
        <w:rPr>
          <w:rFonts w:hint="eastAsia"/>
          <w:lang w:val="en-US" w:eastAsia="zh-CN"/>
        </w:rPr>
      </w:pPr>
      <w:r>
        <w:rPr>
          <w:rFonts w:hint="eastAsia"/>
          <w:b/>
          <w:bCs/>
          <w:lang w:val="en-US" w:eastAsia="zh-CN"/>
        </w:rPr>
        <w:t>U</w:t>
      </w:r>
      <w:r>
        <w:rPr>
          <w:rFonts w:hint="default"/>
          <w:b/>
          <w:bCs/>
          <w:lang w:val="en-US" w:eastAsia="zh-CN"/>
        </w:rPr>
        <w:t>nder the assumption of omni-directional antenna</w:t>
      </w:r>
      <w:r>
        <w:rPr>
          <w:rFonts w:hint="eastAsia"/>
          <w:lang w:val="en-US" w:eastAsia="zh-CN"/>
        </w:rPr>
        <w:t>, the following specification for FR1 in legacy defined in [2] can be referred to.</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Pr>
            <w:r>
              <w:t>9.2.3.1</w:t>
            </w:r>
            <w:r>
              <w:tab/>
            </w:r>
            <w:r>
              <w:t>Requirements for FR1</w:t>
            </w:r>
          </w:p>
          <w:p>
            <w:pPr>
              <w:keepNext w:val="0"/>
              <w:keepLines w:val="0"/>
              <w:pageBreakBefore w:val="0"/>
              <w:widowControl/>
              <w:kinsoku/>
              <w:wordWrap/>
              <w:overflowPunct/>
              <w:topLinePunct w:val="0"/>
              <w:autoSpaceDE/>
              <w:autoSpaceDN/>
              <w:bidi w:val="0"/>
              <w:adjustRightInd/>
              <w:snapToGrid/>
              <w:textAlignment w:val="auto"/>
            </w:pPr>
            <w:r>
              <w:t xml:space="preserve">For </w:t>
            </w:r>
            <w:r>
              <w:rPr>
                <w:b w:val="0"/>
                <w:bCs w:val="0"/>
              </w:rPr>
              <w:t xml:space="preserve">each </w:t>
            </w:r>
            <w:r>
              <w:rPr>
                <w:b w:val="0"/>
                <w:bCs w:val="0"/>
                <w:highlight w:val="yellow"/>
              </w:rPr>
              <w:t>intra-frequency</w:t>
            </w:r>
            <w:r>
              <w:rPr>
                <w:b w:val="0"/>
                <w:bCs w:val="0"/>
              </w:rPr>
              <w:t xml:space="preserve"> layer</w:t>
            </w:r>
            <w:r>
              <w:t xml:space="preserve">, during each layer 1 measurement period, the UE shall be capable of performing </w:t>
            </w:r>
            <w:r>
              <w:rPr>
                <w:rFonts w:cs="v4.2.0"/>
              </w:rPr>
              <w:t>SS-RSRP, SS-RSRQ, and SS-SINR measurements for</w:t>
            </w:r>
            <w:r>
              <w:t xml:space="preserve"> at least:</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t>-</w:t>
            </w:r>
            <w:r>
              <w:tab/>
            </w:r>
            <w:r>
              <w:t>8 identified cells, and</w:t>
            </w:r>
            <w:r>
              <w:rPr>
                <w:rFonts w:hint="eastAsia"/>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default"/>
                <w:vertAlign w:val="baseline"/>
                <w:lang w:val="en-US" w:eastAsia="zh-CN"/>
              </w:rPr>
            </w:pPr>
            <w:r>
              <w:t>-</w:t>
            </w:r>
            <w:r>
              <w:tab/>
            </w:r>
            <w:r>
              <w:t>14 SSBs with different SSB index and/or PCI on the intra-frequency layer, where the number of SSBs in the serving cell (except for the SCell) is not smaller than the number of configured RLM-RS SSB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Pr>
            <w:r>
              <w:t>9.3.3.1</w:t>
            </w:r>
            <w:r>
              <w:tab/>
            </w:r>
            <w:r>
              <w:t>Requirements for FR1</w:t>
            </w:r>
          </w:p>
          <w:p>
            <w:pPr>
              <w:keepNext w:val="0"/>
              <w:keepLines w:val="0"/>
              <w:pageBreakBefore w:val="0"/>
              <w:widowControl/>
              <w:kinsoku/>
              <w:wordWrap/>
              <w:overflowPunct/>
              <w:topLinePunct w:val="0"/>
              <w:autoSpaceDE/>
              <w:autoSpaceDN/>
              <w:bidi w:val="0"/>
              <w:adjustRightInd/>
              <w:snapToGrid/>
              <w:textAlignment w:val="auto"/>
            </w:pPr>
            <w:r>
              <w:t xml:space="preserve">For </w:t>
            </w:r>
            <w:r>
              <w:rPr>
                <w:b w:val="0"/>
                <w:bCs w:val="0"/>
              </w:rPr>
              <w:t xml:space="preserve">each </w:t>
            </w:r>
            <w:r>
              <w:rPr>
                <w:b w:val="0"/>
                <w:bCs w:val="0"/>
                <w:highlight w:val="yellow"/>
              </w:rPr>
              <w:t>inter-frequency</w:t>
            </w:r>
            <w:r>
              <w:rPr>
                <w:b w:val="0"/>
                <w:bCs w:val="0"/>
              </w:rPr>
              <w:t xml:space="preserve"> layer</w:t>
            </w:r>
            <w:r>
              <w:t xml:space="preserve">, during each layer 1 measurement period, the UE shall be capable of performing </w:t>
            </w:r>
            <w:r>
              <w:rPr>
                <w:rFonts w:cs="v4.2.0"/>
              </w:rPr>
              <w:t>SS-RSRP, SS-RSRQ, and SS-SINR measurements for</w:t>
            </w:r>
            <w:r>
              <w:t xml:space="preserve"> at least: </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t>-</w:t>
            </w:r>
            <w:r>
              <w:tab/>
            </w:r>
            <w:r>
              <w:t>4 identified cells, and</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7 SSBs with different SSB index and/or PCI on the inter-frequency layer.</w:t>
            </w:r>
          </w:p>
        </w:tc>
      </w:tr>
    </w:tbl>
    <w:p>
      <w:pPr>
        <w:pStyle w:val="9"/>
        <w:numPr>
          <w:ilvl w:val="0"/>
          <w:numId w:val="0"/>
        </w:numPr>
        <w:bidi w:val="0"/>
        <w:ind w:leftChars="0"/>
        <w:rPr>
          <w:rFonts w:hint="default"/>
          <w:lang w:val="en-US" w:eastAsia="zh-CN"/>
        </w:rPr>
      </w:pPr>
      <w:r>
        <w:rPr>
          <w:rFonts w:hint="eastAsia"/>
          <w:lang w:val="en-US" w:eastAsia="zh-CN"/>
        </w:rPr>
        <w:t>During R18 ATG discussion, regarding the CONNECTED measurement capability, RAN4 achieved the following agreements: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textAlignment w:val="auto"/>
              <w:rPr>
                <w:rFonts w:eastAsia="宋体"/>
                <w:sz w:val="20"/>
                <w:szCs w:val="20"/>
                <w:highlight w:val="green"/>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keepNext w:val="0"/>
              <w:keepLines w:val="0"/>
              <w:pageBreakBefore w:val="0"/>
              <w:widowControl w:val="0"/>
              <w:numPr>
                <w:ilvl w:val="0"/>
                <w:numId w:val="8"/>
              </w:numPr>
              <w:kinsoku/>
              <w:wordWrap/>
              <w:overflowPunct/>
              <w:topLinePunct w:val="0"/>
              <w:autoSpaceDE/>
              <w:autoSpaceDN/>
              <w:bidi w:val="0"/>
              <w:adjustRightInd/>
              <w:snapToGrid/>
              <w:ind w:left="935" w:hanging="357"/>
              <w:textAlignment w:val="auto"/>
              <w:rPr>
                <w:rFonts w:eastAsia="宋体"/>
                <w:sz w:val="20"/>
                <w:szCs w:val="20"/>
                <w:highlight w:val="none"/>
              </w:rPr>
            </w:pPr>
            <w:r>
              <w:rPr>
                <w:rFonts w:eastAsia="宋体"/>
                <w:sz w:val="20"/>
                <w:szCs w:val="20"/>
                <w:highlight w:val="none"/>
              </w:rPr>
              <w:t xml:space="preserve">Reuse the legacy measurement capability of Monitoring of multiple layers using gap for R18 ATG. </w:t>
            </w:r>
          </w:p>
          <w:p>
            <w:pPr>
              <w:keepNext w:val="0"/>
              <w:keepLines w:val="0"/>
              <w:pageBreakBefore w:val="0"/>
              <w:widowControl w:val="0"/>
              <w:numPr>
                <w:ilvl w:val="0"/>
                <w:numId w:val="8"/>
              </w:numPr>
              <w:kinsoku/>
              <w:wordWrap/>
              <w:overflowPunct/>
              <w:topLinePunct w:val="0"/>
              <w:autoSpaceDE/>
              <w:autoSpaceDN/>
              <w:bidi w:val="0"/>
              <w:adjustRightInd/>
              <w:snapToGrid/>
              <w:ind w:left="935" w:hanging="357"/>
              <w:textAlignment w:val="auto"/>
              <w:rPr>
                <w:rFonts w:eastAsia="宋体"/>
                <w:sz w:val="20"/>
                <w:szCs w:val="20"/>
                <w:highlight w:val="none"/>
              </w:rPr>
            </w:pPr>
            <w:r>
              <w:rPr>
                <w:rFonts w:eastAsia="宋体"/>
                <w:sz w:val="20"/>
                <w:szCs w:val="20"/>
                <w:highlight w:val="none"/>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r>
              <w:rPr>
                <w:rFonts w:hint="eastAsia" w:eastAsia="宋体"/>
                <w:sz w:val="20"/>
                <w:szCs w:val="20"/>
                <w:highlight w:val="none"/>
                <w:lang w:val="en-US"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ind w:left="935" w:hanging="357"/>
              <w:textAlignment w:val="auto"/>
              <w:rPr>
                <w:rFonts w:eastAsia="宋体"/>
                <w:sz w:val="20"/>
                <w:szCs w:val="20"/>
                <w:highlight w:val="none"/>
              </w:rPr>
            </w:pPr>
            <w:r>
              <w:rPr>
                <w:rFonts w:eastAsia="宋体"/>
                <w:sz w:val="20"/>
                <w:szCs w:val="20"/>
                <w:highlight w:val="none"/>
              </w:rPr>
              <w:t>The agreements can be further checked after the scenario becomes clearer in RF session</w:t>
            </w:r>
          </w:p>
          <w:p>
            <w:pPr>
              <w:keepNext w:val="0"/>
              <w:keepLines w:val="0"/>
              <w:pageBreakBefore w:val="0"/>
              <w:widowControl w:val="0"/>
              <w:kinsoku/>
              <w:wordWrap/>
              <w:overflowPunct/>
              <w:topLinePunct w:val="0"/>
              <w:autoSpaceDE/>
              <w:autoSpaceDN/>
              <w:bidi w:val="0"/>
              <w:adjustRightInd/>
              <w:snapToGrid/>
              <w:textAlignment w:val="auto"/>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29"/>
              <w:keepNext w:val="0"/>
              <w:keepLines w:val="0"/>
              <w:pageBreakBefore w:val="0"/>
              <w:widowControl w:val="0"/>
              <w:numPr>
                <w:ilvl w:val="0"/>
                <w:numId w:val="8"/>
              </w:numPr>
              <w:kinsoku/>
              <w:wordWrap/>
              <w:overflowPunct/>
              <w:topLinePunct w:val="0"/>
              <w:autoSpaceDE/>
              <w:autoSpaceDN/>
              <w:bidi w:val="0"/>
              <w:adjustRightInd/>
              <w:snapToGrid/>
              <w:spacing w:after="0"/>
              <w:ind w:hanging="357" w:firstLineChars="0"/>
              <w:textAlignment w:val="auto"/>
              <w:rPr>
                <w:rFonts w:hint="default"/>
                <w:vertAlign w:val="baseline"/>
                <w:lang w:val="en-US" w:eastAsia="zh-CN"/>
              </w:rPr>
            </w:pPr>
            <w:r>
              <w:rPr>
                <w:rFonts w:ascii="Times New Roman" w:hAnsi="Times New Roman" w:eastAsia="宋体" w:cs="Times New Roman"/>
                <w:kern w:val="2"/>
                <w:sz w:val="20"/>
                <w:szCs w:val="20"/>
                <w:highlight w:val="none"/>
                <w:lang w:val="en-US" w:eastAsia="zh-CN" w:bidi="ar-SA"/>
              </w:rPr>
              <w:t>The legacy measurement capability of monitoring of multiple layers using gap can be reused for Rel-18 ATG.</w:t>
            </w:r>
          </w:p>
        </w:tc>
      </w:tr>
    </w:tbl>
    <w:p>
      <w:pPr>
        <w:pStyle w:val="9"/>
        <w:numPr>
          <w:ilvl w:val="0"/>
          <w:numId w:val="0"/>
        </w:numPr>
        <w:bidi w:val="0"/>
        <w:ind w:leftChars="0"/>
        <w:rPr>
          <w:rFonts w:hint="eastAsia"/>
          <w:lang w:val="en-US" w:eastAsia="zh-CN"/>
        </w:rPr>
      </w:pPr>
      <w:r>
        <w:rPr>
          <w:rFonts w:hint="eastAsia"/>
          <w:lang w:val="en-US" w:eastAsia="zh-CN"/>
        </w:rPr>
        <w:t>Based on the definition of CSSF</w:t>
      </w:r>
      <w:r>
        <w:rPr>
          <w:rFonts w:hint="eastAsia"/>
          <w:sz w:val="13"/>
          <w:szCs w:val="13"/>
          <w:lang w:val="en-US" w:eastAsia="zh-CN"/>
        </w:rPr>
        <w:t xml:space="preserve">outside_gap </w:t>
      </w:r>
      <w:r>
        <w:rPr>
          <w:rFonts w:hint="eastAsia"/>
          <w:lang w:val="en-US" w:eastAsia="zh-CN"/>
        </w:rPr>
        <w:t>in Table 9.1.5.1.2-1 for FR1, so no need to distinguish different cells in a same frequency layer by CSSF, CSSF only aims to differentiate different frequency layers. So directly reuse the legacy FR1 CSSF</w:t>
      </w:r>
      <w:r>
        <w:rPr>
          <w:rFonts w:hint="eastAsia"/>
          <w:sz w:val="13"/>
          <w:szCs w:val="13"/>
          <w:lang w:val="en-US" w:eastAsia="zh-CN"/>
        </w:rPr>
        <w:t>outside_gap</w:t>
      </w:r>
      <w:r>
        <w:rPr>
          <w:rFonts w:hint="eastAsia"/>
          <w:lang w:val="en-US" w:eastAsia="zh-CN"/>
        </w:rPr>
        <w:t xml:space="preserve"> calculation, cell number and SSB number. No need to enhance anything.</w:t>
      </w:r>
    </w:p>
    <w:p>
      <w:pPr>
        <w:pStyle w:val="9"/>
        <w:bidi w:val="0"/>
        <w:rPr>
          <w:rFonts w:hint="eastAsia"/>
          <w:b/>
          <w:bCs/>
          <w:lang w:val="en-US" w:eastAsia="zh-CN"/>
        </w:rPr>
      </w:pPr>
      <w:r>
        <w:rPr>
          <w:rFonts w:hint="eastAsia"/>
          <w:b/>
          <w:bCs/>
          <w:lang w:val="en-US" w:eastAsia="zh-CN"/>
        </w:rPr>
        <w:t>Proposal 2: Under the assumption of omni-directional antenna, directly reuse the legacy FR1 CSSF</w:t>
      </w:r>
      <w:r>
        <w:rPr>
          <w:rFonts w:hint="eastAsia"/>
          <w:b/>
          <w:bCs/>
          <w:sz w:val="13"/>
          <w:szCs w:val="13"/>
          <w:lang w:val="en-US" w:eastAsia="zh-CN"/>
        </w:rPr>
        <w:t>outside_gap</w:t>
      </w:r>
      <w:r>
        <w:rPr>
          <w:rFonts w:hint="eastAsia"/>
          <w:b/>
          <w:bCs/>
          <w:lang w:val="en-US" w:eastAsia="zh-CN"/>
        </w:rPr>
        <w:t xml:space="preserve"> calculation, supported cell number and SSB number. </w:t>
      </w:r>
    </w:p>
    <w:p>
      <w:pPr>
        <w:pStyle w:val="9"/>
        <w:numPr>
          <w:ilvl w:val="0"/>
          <w:numId w:val="0"/>
        </w:numPr>
        <w:bidi w:val="0"/>
        <w:ind w:leftChars="0"/>
        <w:rPr>
          <w:rFonts w:hint="eastAsia"/>
          <w:lang w:val="en-US" w:eastAsia="zh-CN"/>
        </w:rPr>
      </w:pPr>
      <w:r>
        <w:rPr>
          <w:rFonts w:hint="eastAsia" w:cs="Times New Roman"/>
          <w:szCs w:val="24"/>
          <w:lang w:val="en-US" w:eastAsia="zh-CN" w:bidi="ar-SA"/>
        </w:rPr>
        <w:t xml:space="preserve">Furthermore, </w:t>
      </w:r>
      <w:r>
        <w:rPr>
          <w:rFonts w:hint="eastAsia" w:ascii="Arial" w:hAnsi="Arial" w:eastAsia="MS Mincho" w:cs="Times New Roman"/>
          <w:szCs w:val="24"/>
          <w:lang w:val="en-US" w:eastAsia="zh-CN" w:bidi="ar-SA"/>
        </w:rPr>
        <w:t xml:space="preserve">Regarding the searcher sharing assumption, in legacy FR1, totally two searchers are assumed. The 1st is </w:t>
      </w:r>
      <w:r>
        <w:rPr>
          <w:rFonts w:hint="eastAsia"/>
          <w:lang w:val="en-US" w:eastAsia="zh-CN"/>
        </w:rPr>
        <w:t>specifically used for PCC frequency layer, the 2</w:t>
      </w:r>
      <w:r>
        <w:rPr>
          <w:rFonts w:hint="eastAsia"/>
          <w:vertAlign w:val="superscript"/>
          <w:lang w:val="en-US" w:eastAsia="zh-CN"/>
        </w:rPr>
        <w:t>nd</w:t>
      </w:r>
      <w:r>
        <w:rPr>
          <w:rFonts w:hint="eastAsia"/>
          <w:lang w:val="en-US" w:eastAsia="zh-CN"/>
        </w:rPr>
        <w:t xml:space="preserve"> is shared between SCC frequency layers and other inter-band/inter-RAT layers(since no need to differentiate cells in one frequency layer). In legacy FR2, also totally two searchers are assumed, but the sharing of 2</w:t>
      </w:r>
      <w:r>
        <w:rPr>
          <w:rFonts w:hint="eastAsia"/>
          <w:vertAlign w:val="superscript"/>
          <w:lang w:val="en-US" w:eastAsia="zh-CN"/>
        </w:rPr>
        <w:t>nd</w:t>
      </w:r>
      <w:r>
        <w:rPr>
          <w:rFonts w:hint="eastAsia"/>
          <w:lang w:val="en-US" w:eastAsia="zh-CN"/>
        </w:rPr>
        <w:t xml:space="preserve"> searcher is different from FR1, since need to distinguish the SCC frequency layer with neighbour cell and the SCC frequency layer without neighbour cell. </w:t>
      </w:r>
    </w:p>
    <w:p>
      <w:pPr>
        <w:pStyle w:val="9"/>
        <w:bidi w:val="0"/>
        <w:rPr>
          <w:rFonts w:hint="eastAsia"/>
          <w:b/>
          <w:bCs/>
          <w:lang w:val="en-US" w:eastAsia="zh-CN"/>
        </w:rPr>
      </w:pPr>
      <w:r>
        <w:rPr>
          <w:rFonts w:hint="eastAsia"/>
          <w:b/>
          <w:bCs/>
          <w:lang w:val="en-US" w:eastAsia="zh-CN"/>
        </w:rPr>
        <w:t xml:space="preserve">Observation 2: Two searchers are assumed. The principle of allocation of two searchers in legacy FR1 and FR2 is somehow different. </w:t>
      </w:r>
    </w:p>
    <w:p>
      <w:pPr>
        <w:pStyle w:val="9"/>
        <w:numPr>
          <w:ilvl w:val="0"/>
          <w:numId w:val="0"/>
        </w:numPr>
        <w:bidi w:val="0"/>
        <w:ind w:leftChars="0"/>
        <w:rPr>
          <w:rFonts w:hint="default"/>
          <w:b/>
          <w:bCs/>
          <w:lang w:val="en-US" w:eastAsia="zh-CN"/>
        </w:rPr>
      </w:pPr>
      <w:r>
        <w:rPr>
          <w:rFonts w:hint="eastAsia" w:cs="Times New Roman"/>
          <w:szCs w:val="24"/>
          <w:lang w:val="en-US" w:eastAsia="zh-CN" w:bidi="ar-SA"/>
        </w:rPr>
        <w:t xml:space="preserve">Regarding the how to allocate the two searchers to all the serving CCs and neighbour cells, for the case of omni-directional antenna, we prefer to reuse legacy FR1 strategy, i.e. not distinguish SCC frequency layer with neighbour cell and SCC frequency layer without neighbour cell, all SCC serving cells, SCC neighbour cells, inter-f neighbour cells share the 2nd searcher equally. </w:t>
      </w:r>
    </w:p>
    <w:p>
      <w:pPr>
        <w:pStyle w:val="9"/>
        <w:bidi w:val="0"/>
        <w:rPr>
          <w:rFonts w:hint="eastAsia"/>
          <w:b/>
          <w:bCs/>
          <w:lang w:val="en-US" w:eastAsia="zh-CN"/>
        </w:rPr>
      </w:pPr>
      <w:r>
        <w:rPr>
          <w:rFonts w:hint="eastAsia"/>
          <w:b/>
          <w:bCs/>
          <w:lang w:val="en-US" w:eastAsia="zh-CN"/>
        </w:rPr>
        <w:t>Proposal 3: Under the assumption of omni-directional antenna, reuse the assumption of two searcher allocation strategy between all serving CCs and neighbour cells in legacy FR1. That is, PCC specifically uses the 1st searcher, all SCCs and intra-f/inter-f neighbour cells equally share the 2nd searcher.</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b/>
          <w:bCs/>
          <w:lang w:val="en-US" w:eastAsia="zh-CN"/>
        </w:rPr>
        <w:t>U</w:t>
      </w:r>
      <w:r>
        <w:rPr>
          <w:rFonts w:hint="default"/>
          <w:b/>
          <w:bCs/>
          <w:lang w:val="en-US" w:eastAsia="zh-CN"/>
        </w:rPr>
        <w:t>nder the assumption of antenna array</w:t>
      </w:r>
      <w:r>
        <w:rPr>
          <w:rFonts w:hint="eastAsia"/>
          <w:lang w:val="en-US" w:eastAsia="zh-CN"/>
        </w:rPr>
        <w:t>, it can be shown that for legacy intra-f measurement, some rules were used in legacy FR2 to restrict the neighbour cell number, SSB number under CA/DC, the reason behind is different cell may fit different beam in a same frequency layer. To accelerate the whole measurement latency, need to restrict the cell number. Whether to leverage such legacy FR2 principle, need to discuss.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Pr>
            <w:r>
              <w:t>9.2.3.2</w:t>
            </w:r>
            <w:r>
              <w:tab/>
            </w:r>
            <w:r>
              <w:t>Requirements for FR2</w:t>
            </w:r>
          </w:p>
          <w:p>
            <w:pPr>
              <w:keepNext w:val="0"/>
              <w:keepLines w:val="0"/>
              <w:pageBreakBefore w:val="0"/>
              <w:widowControl/>
              <w:kinsoku/>
              <w:wordWrap/>
              <w:overflowPunct/>
              <w:topLinePunct w:val="0"/>
              <w:autoSpaceDE/>
              <w:autoSpaceDN/>
              <w:bidi w:val="0"/>
              <w:adjustRightInd/>
              <w:snapToGrid/>
              <w:textAlignment w:val="auto"/>
            </w:pPr>
            <w:r>
              <w:t xml:space="preserve">For one </w:t>
            </w:r>
            <w:r>
              <w:rPr>
                <w:b w:val="0"/>
                <w:bCs w:val="0"/>
              </w:rPr>
              <w:t xml:space="preserve">single </w:t>
            </w:r>
            <w:r>
              <w:rPr>
                <w:b w:val="0"/>
                <w:bCs w:val="0"/>
                <w:highlight w:val="yellow"/>
              </w:rPr>
              <w:t>intra-frequency</w:t>
            </w:r>
            <w:r>
              <w:rPr>
                <w:b w:val="0"/>
                <w:bCs w:val="0"/>
              </w:rPr>
              <w:t xml:space="preserve"> layer</w:t>
            </w:r>
            <w:r>
              <w:t xml:space="preserve"> in a band, during each layer 1 measurement period, the UE shall be capable of performing </w:t>
            </w:r>
            <w:r>
              <w:rPr>
                <w:rFonts w:cs="v4.2.0"/>
              </w:rPr>
              <w:t xml:space="preserve">SS-RSRP, SS-RSRQ, and SS-SINR measurements for </w:t>
            </w:r>
            <w:r>
              <w:t>at least:</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t>-</w:t>
            </w:r>
            <w:r>
              <w:tab/>
            </w:r>
            <w:r>
              <w:t>6 identified cells, and</w:t>
            </w:r>
            <w:r>
              <w:rPr>
                <w:rFonts w:hint="eastAsia"/>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24 SSBs with different SSB index and/or PCI,</w:t>
            </w:r>
          </w:p>
          <w:p>
            <w:pPr>
              <w:keepNext w:val="0"/>
              <w:keepLines w:val="0"/>
              <w:pageBreakBefore w:val="0"/>
              <w:widowControl/>
              <w:kinsoku/>
              <w:wordWrap/>
              <w:overflowPunct/>
              <w:topLinePunct w:val="0"/>
              <w:autoSpaceDE/>
              <w:autoSpaceDN/>
              <w:bidi w:val="0"/>
              <w:adjustRightInd/>
              <w:snapToGrid/>
              <w:textAlignment w:val="auto"/>
            </w:pPr>
            <w:r>
              <w:t>where this single intra-frequency layer shall be:</w:t>
            </w:r>
          </w:p>
          <w:p>
            <w:pPr>
              <w:pStyle w:val="31"/>
              <w:keepNext w:val="0"/>
              <w:keepLines w:val="0"/>
              <w:pageBreakBefore w:val="0"/>
              <w:widowControl/>
              <w:kinsoku/>
              <w:wordWrap/>
              <w:overflowPunct/>
              <w:topLinePunct w:val="0"/>
              <w:autoSpaceDE/>
              <w:autoSpaceDN/>
              <w:bidi w:val="0"/>
              <w:adjustRightInd/>
              <w:snapToGrid/>
              <w:spacing w:after="0"/>
              <w:textAlignment w:val="auto"/>
              <w:rPr>
                <w:lang w:eastAsia="zh-CN"/>
              </w:rPr>
            </w:pPr>
            <w:r>
              <w:t>-</w:t>
            </w:r>
            <w:r>
              <w:tab/>
            </w:r>
            <w:r>
              <w:t>PCC</w:t>
            </w:r>
            <w:r>
              <w:rPr>
                <w:lang w:eastAsia="zh-CN"/>
              </w:rPr>
              <w:t xml:space="preserve"> when UE is configured with SA NR operation mode with PCC in the band; or</w:t>
            </w:r>
          </w:p>
          <w:p>
            <w:pPr>
              <w:pStyle w:val="31"/>
              <w:keepNext w:val="0"/>
              <w:keepLines w:val="0"/>
              <w:pageBreakBefore w:val="0"/>
              <w:widowControl/>
              <w:kinsoku/>
              <w:wordWrap/>
              <w:overflowPunct/>
              <w:topLinePunct w:val="0"/>
              <w:autoSpaceDE/>
              <w:autoSpaceDN/>
              <w:bidi w:val="0"/>
              <w:adjustRightInd/>
              <w:snapToGrid/>
              <w:spacing w:after="0"/>
              <w:textAlignment w:val="auto"/>
              <w:rPr>
                <w:lang w:eastAsia="zh-CN"/>
              </w:rPr>
            </w:pPr>
            <w:r>
              <w:t>-</w:t>
            </w:r>
            <w:r>
              <w:tab/>
            </w:r>
            <w:r>
              <w:t>PSCC</w:t>
            </w:r>
            <w:r>
              <w:rPr>
                <w:lang w:eastAsia="zh-CN"/>
              </w:rPr>
              <w:t xml:space="preserve"> when UE is configured with EN-DC with PSCC in the band; or</w:t>
            </w:r>
          </w:p>
          <w:p>
            <w:pPr>
              <w:pStyle w:val="31"/>
              <w:keepNext w:val="0"/>
              <w:keepLines w:val="0"/>
              <w:pageBreakBefore w:val="0"/>
              <w:widowControl/>
              <w:kinsoku/>
              <w:wordWrap/>
              <w:overflowPunct/>
              <w:topLinePunct w:val="0"/>
              <w:autoSpaceDE/>
              <w:autoSpaceDN/>
              <w:bidi w:val="0"/>
              <w:adjustRightInd/>
              <w:snapToGrid/>
              <w:spacing w:after="0"/>
              <w:textAlignment w:val="auto"/>
              <w:rPr>
                <w:lang w:eastAsia="zh-CN"/>
              </w:rPr>
            </w:pPr>
            <w:r>
              <w:t>-</w:t>
            </w:r>
            <w:r>
              <w:tab/>
            </w:r>
            <w:r>
              <w:t>PSCC</w:t>
            </w:r>
            <w:r>
              <w:rPr>
                <w:lang w:eastAsia="zh-CN"/>
              </w:rPr>
              <w:t xml:space="preserve"> when UE is configured with NR-DC with PSCC in the band; or</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pPr>
              <w:keepNext w:val="0"/>
              <w:keepLines w:val="0"/>
              <w:pageBreakBefore w:val="0"/>
              <w:widowControl/>
              <w:kinsoku/>
              <w:wordWrap/>
              <w:overflowPunct/>
              <w:topLinePunct w:val="0"/>
              <w:autoSpaceDE/>
              <w:autoSpaceDN/>
              <w:bidi w:val="0"/>
              <w:adjustRightInd/>
              <w:snapToGrid/>
              <w:textAlignment w:val="auto"/>
              <w:rPr>
                <w:rFonts w:hint="default"/>
                <w:vertAlign w:val="baseline"/>
                <w:lang w:val="en-US" w:eastAsia="zh-CN"/>
              </w:rPr>
            </w:pPr>
            <w:r>
              <w:t xml:space="preserve">The UE shall also be capable of performing </w:t>
            </w:r>
            <w:r>
              <w:rPr>
                <w:rFonts w:cs="v4.2.0"/>
              </w:rPr>
              <w:t>SS-RSRP, SS-RSRQ, and SS-SINR measurements</w:t>
            </w:r>
            <w:r>
              <w:t xml:space="preserve"> for at least 2 SSBs on serving cell for each of th</w:t>
            </w:r>
            <w:r>
              <w:rPr>
                <w:highlight w:val="none"/>
              </w:rPr>
              <w:t>e other intra-frequen</w:t>
            </w:r>
            <w:r>
              <w:t>cy layer(s) in the same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Pr>
            <w:r>
              <w:t>9.3.3.2</w:t>
            </w:r>
            <w:r>
              <w:tab/>
            </w:r>
            <w:r>
              <w:t>Requirements for FR2</w:t>
            </w:r>
          </w:p>
          <w:p>
            <w:pPr>
              <w:keepNext w:val="0"/>
              <w:keepLines w:val="0"/>
              <w:pageBreakBefore w:val="0"/>
              <w:widowControl/>
              <w:kinsoku/>
              <w:wordWrap/>
              <w:overflowPunct/>
              <w:topLinePunct w:val="0"/>
              <w:autoSpaceDE/>
              <w:autoSpaceDN/>
              <w:bidi w:val="0"/>
              <w:adjustRightInd/>
              <w:snapToGrid/>
              <w:textAlignment w:val="auto"/>
            </w:pPr>
            <w:r>
              <w:t xml:space="preserve">For </w:t>
            </w:r>
            <w:r>
              <w:rPr>
                <w:b w:val="0"/>
                <w:bCs w:val="0"/>
              </w:rPr>
              <w:t xml:space="preserve">each </w:t>
            </w:r>
            <w:r>
              <w:rPr>
                <w:b w:val="0"/>
                <w:bCs w:val="0"/>
                <w:highlight w:val="yellow"/>
              </w:rPr>
              <w:t>inter-frequency</w:t>
            </w:r>
            <w:r>
              <w:rPr>
                <w:b w:val="0"/>
                <w:bCs w:val="0"/>
              </w:rPr>
              <w:t xml:space="preserve"> layer</w:t>
            </w:r>
            <w:r>
              <w:t xml:space="preserve">, during each layer 1 measurement period, the UE shall be capable of performing </w:t>
            </w:r>
            <w:r>
              <w:rPr>
                <w:rFonts w:cs="v4.2.0"/>
              </w:rPr>
              <w:t>SS-RSRP, SS-RSRQ, and SS-SINR measurements for</w:t>
            </w:r>
            <w:r>
              <w:t xml:space="preserve"> at least:</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t>-</w:t>
            </w:r>
            <w:r>
              <w:tab/>
            </w:r>
            <w:r>
              <w:t>4 identified cells, and</w:t>
            </w:r>
            <w:r>
              <w:rPr>
                <w:rFonts w:hint="eastAsia"/>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 xml:space="preserve">10 SSBs with different SSB index and/or PCI on the inter-frequency layer, and </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1 SSB per identified cell.</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Based on the above legacy specification, for serving CC measurement it requires UE shall be capable of performing SS-RSRP, SS-RSRQ, and SS-SINR measurements for at least 2 SSBs on serving cell for each of the other intra-frequency layer(s) in the same band. And for intra-frequency layer measurement(i.e. neighbour cell measurement), RAN4 assumes UE is allowed to measure only one CC in a same band.</w:t>
      </w:r>
    </w:p>
    <w:p>
      <w:pPr>
        <w:pStyle w:val="9"/>
        <w:bidi w:val="0"/>
        <w:rPr>
          <w:rFonts w:hint="default"/>
          <w:b/>
          <w:bCs/>
          <w:lang w:val="en-US" w:eastAsia="zh-CN"/>
        </w:rPr>
      </w:pPr>
      <w:r>
        <w:rPr>
          <w:rFonts w:hint="eastAsia"/>
          <w:b/>
          <w:bCs/>
          <w:lang w:val="en-US" w:eastAsia="zh-CN"/>
        </w:rPr>
        <w:t>Observation 3: In legacy FR2, only a single intra-frequency neighbour cell is allowed to measure per band.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The R19 ATG is restricted to co-located CA, furthermore, either intra-band CA or inter-band CA with small separation as the example shown in the WID, so only one Rx beam can cover the measurement on PCC and SCCs. N is assumed as N = 3 or N = 4 in R18 ATG, so besides PCC/SCCs, UE is capable of measure 2 or 3 neighbour cells additionally, which is enough for such pre-determined trajectory scenario. It seems no need to leverage the legacy restriction on FR2 intra-f neighbour cell number.</w:t>
      </w:r>
    </w:p>
    <w:p>
      <w:pPr>
        <w:pStyle w:val="9"/>
        <w:bidi w:val="0"/>
        <w:rPr>
          <w:rFonts w:hint="default"/>
          <w:b/>
          <w:bCs/>
          <w:lang w:val="en-US" w:eastAsia="zh-CN"/>
        </w:rPr>
      </w:pPr>
      <w:r>
        <w:rPr>
          <w:rFonts w:hint="eastAsia"/>
          <w:b/>
          <w:bCs/>
          <w:lang w:val="en-US" w:eastAsia="zh-CN"/>
        </w:rPr>
        <w:t>Proposal 4: Under the assumption of antenna array, no need to leverage the legacy restriction on intra-f neighbour cell number per band in FR2. In other words, no additional restriction on the neighbour cell number allowed.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We analysis the legacy 2 searcher allocation strategy above, while for the case of antenna array, how to allocate the 2</w:t>
      </w:r>
      <w:r>
        <w:rPr>
          <w:rFonts w:hint="eastAsia"/>
          <w:vertAlign w:val="superscript"/>
          <w:lang w:val="en-US" w:eastAsia="zh-CN"/>
        </w:rPr>
        <w:t>nd</w:t>
      </w:r>
      <w:r>
        <w:rPr>
          <w:rFonts w:hint="eastAsia"/>
          <w:lang w:val="en-US" w:eastAsia="zh-CN"/>
        </w:rPr>
        <w:t xml:space="preserve"> searcher between all SCCs and intra-f/inter-f neighbour cells, actually two options are candidate:</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default"/>
          <w:lang w:val="en-US" w:eastAsia="zh-CN"/>
        </w:rPr>
        <w:t xml:space="preserve">Option 1: Reuse legacy FR1 CSSF, i.e. not distinguish SCC frequency layer with neighbour cell and SCC frequency layer without neighbour cell, all SCC serving cells, SCC neighbour cells, inter-f neighbour cells share the 2nd searcher equally.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default"/>
          <w:lang w:val="en-US" w:eastAsia="zh-CN"/>
        </w:rPr>
        <w:t>Option 2: Reuse legacy FR2 CSSF, i.e. distinguish SCC frequency layer with neighbour cell and SCC frequency layer without neighbour 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To our understand, since we prefer not to restrict the number of neighbour cell per band, here Option 1 is more adaptive than Option 2.</w:t>
      </w:r>
    </w:p>
    <w:p>
      <w:pPr>
        <w:pStyle w:val="9"/>
        <w:bidi w:val="0"/>
        <w:rPr>
          <w:rFonts w:hint="default"/>
          <w:b/>
          <w:bCs/>
          <w:lang w:val="en-US" w:eastAsia="zh-CN"/>
        </w:rPr>
      </w:pPr>
      <w:r>
        <w:rPr>
          <w:rFonts w:hint="eastAsia"/>
          <w:b/>
          <w:bCs/>
          <w:lang w:val="en-US" w:eastAsia="zh-CN"/>
        </w:rPr>
        <w:t>Proposal 5: Under the assumption of antenna array, reuse the assumption of two searcher allocation strategy between all serving CCs and neighbour cells in legacy FR1. That is, PCC specifically uses the 1</w:t>
      </w:r>
      <w:r>
        <w:rPr>
          <w:rFonts w:hint="eastAsia"/>
          <w:b/>
          <w:bCs/>
          <w:vertAlign w:val="superscript"/>
          <w:lang w:val="en-US" w:eastAsia="zh-CN"/>
        </w:rPr>
        <w:t>st</w:t>
      </w:r>
      <w:r>
        <w:rPr>
          <w:rFonts w:hint="eastAsia"/>
          <w:b/>
          <w:bCs/>
          <w:lang w:val="en-US" w:eastAsia="zh-CN"/>
        </w:rPr>
        <w:t xml:space="preserve"> searcher, all SCCs and intra-f/inter-f neighbour cells equally share the 2</w:t>
      </w:r>
      <w:r>
        <w:rPr>
          <w:rFonts w:hint="eastAsia"/>
          <w:b/>
          <w:bCs/>
          <w:vertAlign w:val="superscript"/>
          <w:lang w:val="en-US" w:eastAsia="zh-CN"/>
        </w:rPr>
        <w:t>nd</w:t>
      </w:r>
      <w:r>
        <w:rPr>
          <w:rFonts w:hint="eastAsia"/>
          <w:b/>
          <w:bCs/>
          <w:lang w:val="en-US" w:eastAsia="zh-CN"/>
        </w:rPr>
        <w:t xml:space="preserve"> searcher.(i.e. same as that for omni-directional antenna)</w:t>
      </w:r>
    </w:p>
    <w:p>
      <w:pPr>
        <w:pStyle w:val="9"/>
        <w:bidi w:val="0"/>
        <w:rPr>
          <w:rFonts w:hint="eastAsia" w:cs="Arial"/>
          <w:b w:val="0"/>
          <w:bCs w:val="0"/>
          <w:u w:val="single"/>
          <w:lang w:val="en-US" w:eastAsia="zh-CN"/>
        </w:rPr>
      </w:pPr>
      <w:r>
        <w:rPr>
          <w:rFonts w:hint="eastAsia" w:cs="Arial"/>
          <w:b w:val="0"/>
          <w:bCs w:val="0"/>
          <w:u w:val="single"/>
          <w:lang w:val="en-US" w:eastAsia="zh-CN"/>
        </w:rPr>
        <w:t>Activated SCell &amp; deactivated SCell measurement</w:t>
      </w:r>
    </w:p>
    <w:p>
      <w:pPr>
        <w:pStyle w:val="9"/>
        <w:bidi w:val="0"/>
        <w:rPr>
          <w:rFonts w:hint="eastAsia"/>
          <w:lang w:val="en-US" w:eastAsia="zh-CN"/>
        </w:rPr>
      </w:pPr>
      <w:r>
        <w:rPr>
          <w:rFonts w:hint="eastAsia"/>
          <w:lang w:val="en-US" w:eastAsia="zh-CN"/>
        </w:rPr>
        <w:t xml:space="preserve">R18 ATG has already defined the intra-f measurement requirements for PCell, which is also applicable to the activated SCell measurement. </w:t>
      </w:r>
    </w:p>
    <w:p>
      <w:pPr>
        <w:pStyle w:val="9"/>
        <w:bidi w:val="0"/>
        <w:rPr>
          <w:rFonts w:hint="eastAsia"/>
          <w:b/>
          <w:bCs/>
          <w:lang w:val="en-US" w:eastAsia="zh-CN"/>
        </w:rPr>
      </w:pPr>
      <w:r>
        <w:rPr>
          <w:rFonts w:hint="eastAsia"/>
          <w:b/>
          <w:bCs/>
          <w:lang w:val="en-US" w:eastAsia="zh-CN"/>
        </w:rPr>
        <w:t>Observation 4: For the activated SCell measurement, no additional factor to consider, reuse same requirements as R18 ATG intra-f measurements.</w:t>
      </w:r>
    </w:p>
    <w:p>
      <w:pPr>
        <w:pStyle w:val="9"/>
        <w:bidi w:val="0"/>
        <w:rPr>
          <w:rFonts w:hint="eastAsia"/>
          <w:lang w:val="en-US" w:eastAsia="zh-CN"/>
        </w:rPr>
      </w:pPr>
      <w:r>
        <w:rPr>
          <w:rFonts w:hint="eastAsia"/>
          <w:lang w:val="en-US" w:eastAsia="zh-CN"/>
        </w:rPr>
        <w:t xml:space="preserve">Regarding the deactivated SCell measurement, whether to enhance measCycleSCell by smaller candidates, which can be studied. The existing candidates of measCycleSCell are {sf160, sf256, sf320, sf512, sf640, sf1024, sf1280}. </w:t>
      </w:r>
    </w:p>
    <w:p>
      <w:pPr>
        <w:pStyle w:val="9"/>
        <w:bidi w:val="0"/>
        <w:rPr>
          <w:rFonts w:hint="eastAsia"/>
          <w:lang w:val="en-US" w:eastAsia="zh-CN"/>
        </w:rPr>
      </w:pPr>
      <w:r>
        <w:rPr>
          <w:rFonts w:hint="eastAsia"/>
          <w:lang w:val="en-US" w:eastAsia="zh-CN"/>
        </w:rPr>
        <w:t>For the small ISD deployment, whether the smallest candidate of sf160 is enough for the UE with 800km/h velocity, which could further identify. However the small ISD deployment is not typical case for ATG, so this issue can be in low priority and put effort on other high priority issues.</w:t>
      </w:r>
    </w:p>
    <w:p>
      <w:pPr>
        <w:pStyle w:val="9"/>
        <w:bidi w:val="0"/>
        <w:rPr>
          <w:rFonts w:hint="default"/>
          <w:b/>
          <w:bCs/>
          <w:lang w:val="en-US" w:eastAsia="zh-CN"/>
        </w:rPr>
      </w:pPr>
      <w:r>
        <w:rPr>
          <w:rFonts w:hint="eastAsia"/>
          <w:b/>
          <w:bCs/>
          <w:lang w:val="en-US" w:eastAsia="zh-CN"/>
        </w:rPr>
        <w:t>Observation 5: For the deactivated SCell measurement, whether need to introduce smaller candidate of measCycleSCell to facilitate the small ISD ATG deployment, which can be considered.</w:t>
      </w:r>
    </w:p>
    <w:p>
      <w:pPr>
        <w:pStyle w:val="9"/>
        <w:bidi w:val="0"/>
        <w:rPr>
          <w:rFonts w:hint="eastAsia" w:cs="Arial"/>
          <w:b w:val="0"/>
          <w:bCs w:val="0"/>
          <w:u w:val="single"/>
          <w:lang w:val="en-US" w:eastAsia="zh-CN"/>
        </w:rPr>
      </w:pPr>
      <w:r>
        <w:rPr>
          <w:rFonts w:hint="eastAsia" w:cs="Arial"/>
          <w:b w:val="0"/>
          <w:bCs w:val="0"/>
          <w:u w:val="single"/>
          <w:lang w:val="en-US" w:eastAsia="zh-CN"/>
        </w:rPr>
        <w:t>Scheduling restriction</w:t>
      </w:r>
    </w:p>
    <w:p>
      <w:pPr>
        <w:pStyle w:val="9"/>
        <w:bidi w:val="0"/>
        <w:rPr>
          <w:rFonts w:hint="eastAsia"/>
          <w:lang w:val="en-US" w:eastAsia="zh-CN"/>
        </w:rPr>
      </w:pPr>
      <w:r>
        <w:rPr>
          <w:rFonts w:hint="eastAsia"/>
          <w:lang w:val="en-US" w:eastAsia="zh-CN"/>
        </w:rPr>
        <w:t>In R18 ATG, scheduling restriction were identified for omni-directional antenna and antenna array separately. For omni-directional antenna, reuse legacy scheduling restriction. For antenna array, considering beam steering at a single direction at one time, which would lead additional restriction compared with legacy FR1.</w:t>
      </w:r>
    </w:p>
    <w:p>
      <w:pPr>
        <w:pStyle w:val="9"/>
        <w:bidi w:val="0"/>
        <w:rPr>
          <w:rFonts w:hint="default"/>
          <w:lang w:val="en-US" w:eastAsia="zh-CN"/>
        </w:rPr>
      </w:pPr>
      <w:r>
        <w:rPr>
          <w:rFonts w:hint="eastAsia"/>
          <w:lang w:val="en-US" w:eastAsia="zh-CN"/>
        </w:rPr>
        <w:t xml:space="preserve">For R19 ATG, due to CA, the scheduling restriction extension to intra-band/inter-band CA should be identified. </w:t>
      </w:r>
    </w:p>
    <w:p>
      <w:pPr>
        <w:pStyle w:val="9"/>
        <w:bidi w:val="0"/>
        <w:rPr>
          <w:rFonts w:hint="eastAsia" w:cs="Arial"/>
          <w:b w:val="0"/>
          <w:bCs w:val="0"/>
          <w:u w:val="single"/>
          <w:lang w:val="en-US" w:eastAsia="zh-CN"/>
        </w:rPr>
      </w:pPr>
      <w:r>
        <w:rPr>
          <w:rFonts w:hint="eastAsia"/>
          <w:b/>
          <w:bCs/>
          <w:lang w:val="en-US" w:eastAsia="zh-CN"/>
        </w:rPr>
        <w:t>Proposal 6: the scheduling restriction extension to intra-band/inter-band CA should be identified. Which can be discussed for omni-directional antenna and antenna array separately.</w:t>
      </w:r>
    </w:p>
    <w:p>
      <w:pPr>
        <w:pStyle w:val="3"/>
        <w:numPr>
          <w:ilvl w:val="0"/>
          <w:numId w:val="0"/>
        </w:numPr>
        <w:bidi w:val="0"/>
        <w:ind w:leftChars="0"/>
        <w:rPr>
          <w:lang w:eastAsia="zh-CN"/>
        </w:rPr>
      </w:pPr>
      <w:r>
        <w:rPr>
          <w:rFonts w:hint="eastAsia"/>
          <w:lang w:val="en-US" w:eastAsia="zh-CN"/>
        </w:rPr>
        <w:t>2.2 IDLE/INACTIVE mode measurement</w:t>
      </w:r>
    </w:p>
    <w:p>
      <w:pPr>
        <w:pStyle w:val="9"/>
        <w:bidi w:val="0"/>
        <w:rPr>
          <w:rFonts w:hint="eastAsia"/>
          <w:lang w:val="en-US" w:eastAsia="zh-CN"/>
        </w:rPr>
      </w:pPr>
      <w:r>
        <w:rPr>
          <w:rFonts w:hint="eastAsia" w:cs="Arial"/>
          <w:b w:val="0"/>
          <w:bCs w:val="0"/>
          <w:u w:val="single"/>
          <w:lang w:val="en-US" w:eastAsia="zh-CN"/>
        </w:rPr>
        <w:t>EMR</w:t>
      </w:r>
    </w:p>
    <w:p>
      <w:pPr>
        <w:pStyle w:val="9"/>
        <w:bidi w:val="0"/>
        <w:rPr>
          <w:rFonts w:hint="eastAsia"/>
          <w:lang w:val="en-US" w:eastAsia="zh-CN"/>
        </w:rPr>
      </w:pPr>
      <w:r>
        <w:rPr>
          <w:rFonts w:hint="eastAsia"/>
          <w:lang w:val="en-US" w:eastAsia="zh-CN"/>
        </w:rPr>
        <w:t xml:space="preserve">Based on existing spec(including R16/17/18), EMR only enables for the IDLE/INACTIVE state triggered by RRCRelease signalling. The IDLE/INACTIVE state caused by other reasons, including initial access and RLM/handover failure can not enable EMR. </w:t>
      </w:r>
    </w:p>
    <w:p>
      <w:pPr>
        <w:pStyle w:val="9"/>
        <w:bidi w:val="0"/>
        <w:rPr>
          <w:rFonts w:hint="default"/>
          <w:b/>
          <w:bCs/>
          <w:lang w:val="en-US" w:eastAsia="zh-CN"/>
        </w:rPr>
      </w:pPr>
      <w:r>
        <w:rPr>
          <w:rFonts w:hint="eastAsia"/>
          <w:b/>
          <w:bCs/>
          <w:lang w:val="en-US" w:eastAsia="zh-CN"/>
        </w:rPr>
        <w:t xml:space="preserve">Observation 6: In legacy(including R16/17/18), EMR only enables for the IDLE/INACTIVE state triggered by RRCRelease signalling. The IDLE/INACTIVE state caused by other reasons, including initial access and RLM/handover failure can not enable EMR. </w:t>
      </w:r>
    </w:p>
    <w:p>
      <w:pPr>
        <w:pStyle w:val="9"/>
        <w:bidi w:val="0"/>
        <w:rPr>
          <w:rFonts w:hint="default"/>
          <w:lang w:val="en-US" w:eastAsia="zh-CN"/>
        </w:rPr>
      </w:pPr>
      <w:r>
        <w:rPr>
          <w:rFonts w:hint="eastAsia"/>
          <w:lang w:val="en-US" w:eastAsia="zh-CN"/>
        </w:rPr>
        <w:t>While in ATG scenario, during one trip of flight, actually the CPE would be always online, and NW would not send RRCRelease to CPE, so the condition of EMR application can not happen. The SCell addition can be performed via normally RRM measurement, no need to consider EMR.</w:t>
      </w:r>
    </w:p>
    <w:p>
      <w:pPr>
        <w:pStyle w:val="9"/>
        <w:bidi w:val="0"/>
        <w:rPr>
          <w:rFonts w:hint="default"/>
          <w:b/>
          <w:bCs/>
          <w:lang w:val="en-US" w:eastAsia="zh-CN"/>
        </w:rPr>
      </w:pPr>
      <w:r>
        <w:rPr>
          <w:rFonts w:hint="eastAsia"/>
          <w:b/>
          <w:bCs/>
          <w:lang w:val="en-US" w:eastAsia="zh-CN"/>
        </w:rPr>
        <w:t>Proposal 7: Considering the CPE would be always online during one trip of flight, the applicable condition of EMR would not happen, so no need to consider EMR in R19 ATG.</w:t>
      </w:r>
    </w:p>
    <w:p>
      <w:pPr>
        <w:pStyle w:val="3"/>
        <w:numPr>
          <w:ilvl w:val="0"/>
          <w:numId w:val="0"/>
        </w:numPr>
        <w:bidi w:val="0"/>
        <w:ind w:leftChars="0"/>
        <w:rPr>
          <w:rFonts w:hint="eastAsia"/>
          <w:lang w:val="en-US" w:eastAsia="zh-CN"/>
        </w:rPr>
      </w:pPr>
      <w:r>
        <w:rPr>
          <w:rFonts w:hint="eastAsia"/>
          <w:lang w:val="en-US" w:eastAsia="zh-CN"/>
        </w:rPr>
        <w:t>2.3 CONNECTED mode mobility</w:t>
      </w:r>
    </w:p>
    <w:p>
      <w:pPr>
        <w:pStyle w:val="9"/>
        <w:bidi w:val="0"/>
        <w:rPr>
          <w:rFonts w:hint="eastAsia" w:cs="Arial"/>
          <w:b w:val="0"/>
          <w:bCs w:val="0"/>
          <w:u w:val="single"/>
          <w:lang w:val="en-US" w:eastAsia="zh-CN"/>
        </w:rPr>
      </w:pPr>
      <w:r>
        <w:rPr>
          <w:rFonts w:hint="eastAsia" w:cs="Arial"/>
          <w:b w:val="0"/>
          <w:bCs w:val="0"/>
          <w:u w:val="single"/>
          <w:lang w:val="en-US" w:eastAsia="zh-CN"/>
        </w:rPr>
        <w:t>Handover/CHO</w:t>
      </w:r>
    </w:p>
    <w:p>
      <w:pPr>
        <w:pStyle w:val="9"/>
        <w:bidi w:val="0"/>
        <w:rPr>
          <w:rFonts w:hint="default"/>
          <w:lang w:val="en-US" w:eastAsia="zh-CN"/>
        </w:rPr>
      </w:pPr>
      <w:r>
        <w:rPr>
          <w:rFonts w:hint="eastAsia"/>
          <w:lang w:val="en-US" w:eastAsia="zh-CN"/>
        </w:rPr>
        <w:t xml:space="preserve">Since only co-located CA allowed in R19 ATG, so once PCell handover/CHO happens, actually the current SCells would be released or deactivated. At the meanwhile, new SCells co-located with target PCell can be added. All these can be supported by legacy </w:t>
      </w:r>
      <w:r>
        <w:rPr>
          <w:rFonts w:hint="eastAsia"/>
          <w:i/>
          <w:iCs/>
          <w:lang w:val="en-US" w:eastAsia="zh-CN"/>
        </w:rPr>
        <w:t xml:space="preserve">RRCReconfiguration </w:t>
      </w:r>
      <w:r>
        <w:rPr>
          <w:rFonts w:hint="eastAsia"/>
          <w:lang w:val="en-US" w:eastAsia="zh-CN"/>
        </w:rPr>
        <w:t>signalling during handover/CHO. So no impact on R18 ATG handover/CHO. Not need additional enhancement.</w:t>
      </w:r>
    </w:p>
    <w:p>
      <w:pPr>
        <w:pStyle w:val="9"/>
        <w:bidi w:val="0"/>
        <w:rPr>
          <w:lang w:eastAsia="zh-CN"/>
        </w:rPr>
      </w:pPr>
      <w:r>
        <w:rPr>
          <w:rFonts w:hint="eastAsia"/>
          <w:b/>
          <w:bCs/>
          <w:lang w:val="en-US" w:eastAsia="zh-CN"/>
        </w:rPr>
        <w:t>Observation 7: No impact on R18 ATG handover/CHO. Not need additional enhancement.</w:t>
      </w:r>
    </w:p>
    <w:p>
      <w:pPr>
        <w:pStyle w:val="3"/>
        <w:numPr>
          <w:ilvl w:val="0"/>
          <w:numId w:val="0"/>
        </w:numPr>
        <w:bidi w:val="0"/>
        <w:ind w:leftChars="0"/>
        <w:rPr>
          <w:rFonts w:hint="eastAsia"/>
          <w:lang w:val="en-US" w:eastAsia="zh-CN"/>
        </w:rPr>
      </w:pPr>
      <w:r>
        <w:rPr>
          <w:rFonts w:hint="eastAsia"/>
          <w:lang w:val="en-US" w:eastAsia="zh-CN"/>
        </w:rPr>
        <w:t>2.4 Signalling Characteristics</w:t>
      </w:r>
    </w:p>
    <w:p>
      <w:pPr>
        <w:pStyle w:val="9"/>
        <w:bidi w:val="0"/>
        <w:rPr>
          <w:rFonts w:hint="eastAsia" w:cs="Arial"/>
          <w:b w:val="0"/>
          <w:bCs w:val="0"/>
          <w:u w:val="single"/>
          <w:lang w:val="en-US" w:eastAsia="zh-CN"/>
        </w:rPr>
      </w:pPr>
      <w:r>
        <w:rPr>
          <w:rFonts w:hint="eastAsia" w:cs="Arial"/>
          <w:b w:val="0"/>
          <w:bCs w:val="0"/>
          <w:u w:val="single"/>
          <w:lang w:val="en-US" w:eastAsia="zh-CN"/>
        </w:rPr>
        <w:t>SCell addition/release</w:t>
      </w:r>
    </w:p>
    <w:p>
      <w:pPr>
        <w:pStyle w:val="9"/>
        <w:bidi w:val="0"/>
        <w:rPr>
          <w:rFonts w:hint="eastAsia"/>
          <w:lang w:val="en-US" w:eastAsia="zh-CN"/>
        </w:rPr>
      </w:pPr>
      <w:r>
        <w:rPr>
          <w:rFonts w:hint="eastAsia"/>
          <w:lang w:val="en-US" w:eastAsia="zh-CN"/>
        </w:rPr>
        <w:t xml:space="preserve">In existing RAN4 spec, no RAN4 requirements except for interruption requirements defined for SCell addition/release. The RRC signalling </w:t>
      </w:r>
      <w:r>
        <w:rPr>
          <w:rFonts w:hint="eastAsia"/>
          <w:i/>
          <w:iCs/>
          <w:lang w:val="en-US" w:eastAsia="zh-CN"/>
        </w:rPr>
        <w:t xml:space="preserve">SCellConfig </w:t>
      </w:r>
      <w:r>
        <w:rPr>
          <w:rFonts w:hint="eastAsia"/>
          <w:lang w:val="en-US" w:eastAsia="zh-CN"/>
        </w:rPr>
        <w:t xml:space="preserve">carrying </w:t>
      </w:r>
      <w:r>
        <w:rPr>
          <w:rFonts w:hint="eastAsia"/>
          <w:i/>
          <w:iCs/>
          <w:lang w:val="en-US" w:eastAsia="zh-CN"/>
        </w:rPr>
        <w:t xml:space="preserve">ServingCellConfig </w:t>
      </w:r>
      <w:r>
        <w:rPr>
          <w:rFonts w:hint="eastAsia"/>
          <w:lang w:val="en-US" w:eastAsia="zh-CN"/>
        </w:rPr>
        <w:t xml:space="preserve">and </w:t>
      </w:r>
      <w:r>
        <w:rPr>
          <w:rFonts w:hint="eastAsia"/>
          <w:i/>
          <w:iCs/>
          <w:lang w:val="en-US" w:eastAsia="zh-CN"/>
        </w:rPr>
        <w:t xml:space="preserve">ServingCellConfigCommon </w:t>
      </w:r>
      <w:r>
        <w:rPr>
          <w:rFonts w:hint="eastAsia"/>
          <w:lang w:val="en-US" w:eastAsia="zh-CN"/>
        </w:rPr>
        <w:t xml:space="preserve">would be configured during SCell addition. </w:t>
      </w:r>
    </w:p>
    <w:p>
      <w:pPr>
        <w:pStyle w:val="9"/>
        <w:bidi w:val="0"/>
        <w:rPr>
          <w:rFonts w:hint="eastAsia"/>
          <w:lang w:val="en-US" w:eastAsia="zh-CN"/>
        </w:rPr>
      </w:pPr>
      <w:r>
        <w:rPr>
          <w:rFonts w:hint="eastAsia"/>
          <w:lang w:val="en-US" w:eastAsia="zh-CN"/>
        </w:rPr>
        <w:t>For R19 ATG, we need to check whether to enhance the interruption requirements especially for the assumption of antenna array.</w:t>
      </w:r>
    </w:p>
    <w:p>
      <w:pPr>
        <w:pStyle w:val="9"/>
        <w:bidi w:val="0"/>
        <w:rPr>
          <w:rFonts w:hint="eastAsia"/>
          <w:lang w:val="en-US" w:eastAsia="zh-CN"/>
        </w:rPr>
      </w:pPr>
      <w:r>
        <w:rPr>
          <w:rFonts w:hint="eastAsia"/>
          <w:lang w:val="en-US" w:eastAsia="zh-CN"/>
        </w:rPr>
        <w:t>There are two types of interruption length in existing SCell addition/release:</w:t>
      </w:r>
    </w:p>
    <w:p>
      <w:pPr>
        <w:numPr>
          <w:ilvl w:val="0"/>
          <w:numId w:val="10"/>
        </w:numPr>
        <w:ind w:left="420" w:leftChars="0" w:hanging="420" w:firstLineChars="0"/>
        <w:rPr>
          <w:rFonts w:hint="eastAsia"/>
          <w:b w:val="0"/>
          <w:bCs/>
          <w:sz w:val="21"/>
          <w:szCs w:val="21"/>
          <w:lang w:val="en-US" w:eastAsia="zh-CN"/>
        </w:rPr>
      </w:pPr>
      <w:r>
        <w:rPr>
          <w:rFonts w:hint="eastAsia"/>
          <w:b w:val="0"/>
          <w:bCs/>
          <w:sz w:val="21"/>
          <w:szCs w:val="21"/>
          <w:lang w:val="en-US" w:eastAsia="zh-CN"/>
        </w:rPr>
        <w:t xml:space="preserve">Length of X1 in Table 8.2.2.2.1-1: </w:t>
      </w:r>
    </w:p>
    <w:p>
      <w:pPr>
        <w:pStyle w:val="9"/>
        <w:numPr>
          <w:ilvl w:val="0"/>
          <w:numId w:val="11"/>
        </w:numPr>
        <w:bidi w:val="0"/>
        <w:ind w:left="840" w:leftChars="0" w:hanging="420" w:firstLineChars="0"/>
        <w:rPr>
          <w:rFonts w:hint="default"/>
          <w:lang w:val="en-US" w:eastAsia="zh-CN"/>
        </w:rPr>
      </w:pPr>
      <w:r>
        <w:rPr>
          <w:rFonts w:hint="eastAsia"/>
          <w:lang w:val="en-US" w:eastAsia="zh-CN"/>
        </w:rPr>
        <w:t>of up to X1 slot, if the active serving cell and the SCell being added or released are in a FR1 band pair or in a FR1+FR2 band pair</w:t>
      </w:r>
    </w:p>
    <w:p>
      <w:pPr>
        <w:pStyle w:val="9"/>
        <w:numPr>
          <w:ilvl w:val="0"/>
          <w:numId w:val="11"/>
        </w:numPr>
        <w:bidi w:val="0"/>
        <w:ind w:left="840" w:leftChars="0" w:hanging="420" w:firstLineChars="0"/>
        <w:rPr>
          <w:rFonts w:hint="default"/>
          <w:lang w:val="en-US" w:eastAsia="zh-CN"/>
        </w:rPr>
      </w:pPr>
      <w:r>
        <w:rPr>
          <w:rFonts w:hint="eastAsia"/>
          <w:lang w:val="en-US" w:eastAsia="zh-CN"/>
        </w:rPr>
        <w:t xml:space="preserve">of up to X1 slot, if the active serving cell and the SCell being added or released are in a FR2 band pair and UE is capable of independent beam management on this FR2 band pair. </w:t>
      </w:r>
    </w:p>
    <w:p>
      <w:pPr>
        <w:pStyle w:val="9"/>
        <w:numPr>
          <w:ilvl w:val="0"/>
          <w:numId w:val="11"/>
        </w:numPr>
        <w:bidi w:val="0"/>
        <w:ind w:left="840" w:leftChars="0" w:hanging="420" w:firstLineChars="0"/>
        <w:rPr>
          <w:rFonts w:hint="default"/>
          <w:lang w:val="en-US" w:eastAsia="zh-CN"/>
        </w:rPr>
      </w:pPr>
      <w:r>
        <w:rPr>
          <w:rFonts w:hint="eastAsia"/>
          <w:lang w:val="en-US" w:eastAsia="zh-CN"/>
        </w:rPr>
        <w:t xml:space="preserve">of up to X1 slot, if the active serving cell is non-contiguous to the SCell being added or released in the same FR1 band and UE is capable of intraBandNR-CA-non-collocated-r18 and </w:t>
      </w:r>
      <w:r>
        <w:rPr>
          <w:rFonts w:hint="eastAsia"/>
          <w:lang w:val="en-US" w:eastAsia="sv-SE"/>
        </w:rPr>
        <w:t>nonCollocatedTypeNR-CA-r18</w:t>
      </w:r>
      <w:r>
        <w:rPr>
          <w:rFonts w:hint="eastAsia"/>
          <w:lang w:val="en-US" w:eastAsia="zh-CN"/>
        </w:rPr>
        <w:t xml:space="preserve"> is not provided.</w:t>
      </w:r>
    </w:p>
    <w:p>
      <w:pPr>
        <w:numPr>
          <w:ilvl w:val="0"/>
          <w:numId w:val="10"/>
        </w:numPr>
        <w:ind w:left="420" w:leftChars="0" w:hanging="420" w:firstLineChars="0"/>
        <w:rPr>
          <w:rFonts w:hint="default"/>
          <w:b w:val="0"/>
          <w:bCs/>
          <w:sz w:val="21"/>
          <w:szCs w:val="21"/>
          <w:lang w:val="en-US" w:eastAsia="zh-CN"/>
        </w:rPr>
      </w:pPr>
      <w:r>
        <w:rPr>
          <w:rFonts w:hint="eastAsia"/>
          <w:b w:val="0"/>
          <w:bCs/>
          <w:sz w:val="21"/>
          <w:szCs w:val="21"/>
          <w:lang w:val="en-US" w:eastAsia="zh-CN"/>
        </w:rPr>
        <w:t>Interruption length defined in Table 8.2.2.2.1-2:</w:t>
      </w:r>
    </w:p>
    <w:p>
      <w:pPr>
        <w:pStyle w:val="9"/>
        <w:numPr>
          <w:ilvl w:val="0"/>
          <w:numId w:val="11"/>
        </w:numPr>
        <w:bidi w:val="0"/>
        <w:ind w:left="840" w:leftChars="0" w:hanging="420" w:firstLineChars="0"/>
        <w:rPr>
          <w:rFonts w:hint="default" w:eastAsia="宋体"/>
          <w:lang w:val="en-US" w:eastAsia="zh-CN"/>
        </w:rPr>
      </w:pPr>
      <w:r>
        <w:t xml:space="preserve">of up to the duration shown in table 8.2.2.2.1-2, if the active </w:t>
      </w:r>
      <w:r>
        <w:rPr>
          <w:lang w:eastAsia="zh-CN"/>
        </w:rPr>
        <w:t>serving cells</w:t>
      </w:r>
      <w:r>
        <w:t xml:space="preserve"> are </w:t>
      </w:r>
      <w:r>
        <w:rPr>
          <w:lang w:val="en-US"/>
        </w:rPr>
        <w:t>contiguous to</w:t>
      </w:r>
      <w:r>
        <w:t xml:space="preserve"> any of </w:t>
      </w:r>
      <w:r>
        <w:rPr>
          <w:rFonts w:hint="eastAsia" w:ascii="Arial" w:hAnsi="Arial" w:eastAsia="MS Mincho" w:cs="Times New Roman"/>
          <w:szCs w:val="24"/>
          <w:lang w:val="en-US" w:eastAsia="zh-CN" w:bidi="ar-SA"/>
        </w:rPr>
        <w:t>the SCells being added or released in the same FR1 band, or if the active serving cells are in the same FR1 band as any of the SCells being added or released and UE is not capable of intraBandNR-CA-non-collocated-r18 or UE is capable of intraBandNR-CA-non-collocated-r18 and [</w:t>
      </w:r>
      <w:r>
        <w:rPr>
          <w:rFonts w:hint="eastAsia" w:ascii="Arial" w:hAnsi="Arial" w:eastAsia="MS Mincho" w:cs="Times New Roman"/>
          <w:szCs w:val="24"/>
          <w:lang w:val="en-US" w:eastAsia="sv-SE" w:bidi="ar-SA"/>
        </w:rPr>
        <w:t>nonCollocatedTypeNR-CA-r18</w:t>
      </w:r>
      <w:r>
        <w:rPr>
          <w:rFonts w:hint="eastAsia" w:ascii="Arial" w:hAnsi="Arial" w:eastAsia="MS Mincho" w:cs="Times New Roman"/>
          <w:szCs w:val="24"/>
          <w:lang w:val="en-US" w:eastAsia="zh-CN" w:bidi="ar-SA"/>
        </w:rPr>
        <w:t xml:space="preserve">] is provided, provided the cell specific reference signals from the active serving cells and the SCells being added or released are available in the same slot. </w:t>
      </w:r>
    </w:p>
    <w:p>
      <w:pPr>
        <w:pStyle w:val="9"/>
        <w:bidi w:val="0"/>
        <w:rPr>
          <w:rFonts w:hint="eastAsia"/>
          <w:lang w:val="en-US" w:eastAsia="zh-CN"/>
        </w:rPr>
      </w:pPr>
      <w:r>
        <w:rPr>
          <w:rFonts w:hint="eastAsia"/>
          <w:lang w:val="en-US" w:eastAsia="zh-CN"/>
        </w:rPr>
        <w:t>For antenna array, since the victim cell and aggressor cells are co-located, so same beam assumed, which is different from the FR2 IBM assumption. So it seems just reuse the above interruption for FR1 inter-band CA and intra-band contiguous CA is fine.</w:t>
      </w:r>
    </w:p>
    <w:p>
      <w:pPr>
        <w:numPr>
          <w:ilvl w:val="0"/>
          <w:numId w:val="0"/>
        </w:numPr>
        <w:ind w:leftChars="0"/>
        <w:rPr>
          <w:rFonts w:hint="eastAsia"/>
          <w:lang w:val="en-US" w:eastAsia="zh-CN"/>
        </w:rPr>
      </w:pPr>
      <w:r>
        <w:rPr>
          <w:rFonts w:hint="eastAsia"/>
          <w:lang w:val="en-US" w:eastAsia="zh-CN"/>
        </w:rPr>
        <w:t>For omni-directional antenna, directly reuse existing FR1 interruption.</w:t>
      </w:r>
    </w:p>
    <w:p>
      <w:pPr>
        <w:pStyle w:val="9"/>
        <w:bidi w:val="0"/>
        <w:rPr>
          <w:rFonts w:hint="default" w:cs="Arial"/>
          <w:b w:val="0"/>
          <w:bCs w:val="0"/>
          <w:u w:val="single"/>
          <w:lang w:val="en-US" w:eastAsia="zh-CN"/>
        </w:rPr>
      </w:pPr>
      <w:r>
        <w:rPr>
          <w:rFonts w:hint="eastAsia"/>
          <w:b/>
          <w:bCs/>
          <w:lang w:val="en-US" w:eastAsia="zh-CN"/>
        </w:rPr>
        <w:t>Observation 8: For both omni-directional antenna and antenna array assumption, reuse existing interruption requirements of SCell addition/release.</w:t>
      </w:r>
    </w:p>
    <w:p>
      <w:pPr>
        <w:pStyle w:val="9"/>
        <w:bidi w:val="0"/>
        <w:rPr>
          <w:rFonts w:hint="eastAsia" w:cs="Arial"/>
          <w:b w:val="0"/>
          <w:bCs w:val="0"/>
          <w:u w:val="single"/>
          <w:lang w:val="en-US" w:eastAsia="zh-CN"/>
        </w:rPr>
      </w:pPr>
      <w:r>
        <w:rPr>
          <w:rFonts w:hint="eastAsia" w:cs="Arial"/>
          <w:b w:val="0"/>
          <w:bCs w:val="0"/>
          <w:u w:val="single"/>
          <w:lang w:val="en-US" w:eastAsia="zh-CN"/>
        </w:rPr>
        <w:t>SCell activation/deactivation</w:t>
      </w:r>
    </w:p>
    <w:p>
      <w:pPr>
        <w:pStyle w:val="9"/>
        <w:bidi w:val="0"/>
        <w:rPr>
          <w:rFonts w:hint="default"/>
          <w:lang w:val="en-US" w:eastAsia="zh-CN"/>
        </w:rPr>
      </w:pPr>
      <w:r>
        <w:rPr>
          <w:rFonts w:hint="eastAsia"/>
          <w:lang w:val="en-US" w:eastAsia="zh-CN"/>
        </w:rPr>
        <w:t>In existing SCell activation/deactivation procedure, the following components are covered.</w:t>
      </w:r>
    </w:p>
    <w:p>
      <w:pPr>
        <w:numPr>
          <w:ilvl w:val="0"/>
          <w:numId w:val="0"/>
        </w:numPr>
        <w:jc w:val="left"/>
      </w:pPr>
      <w:r>
        <w:drawing>
          <wp:inline distT="0" distB="0" distL="114300" distR="114300">
            <wp:extent cx="5960110" cy="1047115"/>
            <wp:effectExtent l="0" t="0" r="13970" b="444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5"/>
                    <a:stretch>
                      <a:fillRect/>
                    </a:stretch>
                  </pic:blipFill>
                  <pic:spPr>
                    <a:xfrm>
                      <a:off x="0" y="0"/>
                      <a:ext cx="5960110" cy="1047115"/>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Fig.1 The whole procedure of SCell activation</w:t>
      </w:r>
    </w:p>
    <w:p>
      <w:pPr>
        <w:pStyle w:val="9"/>
        <w:bidi w:val="0"/>
        <w:rPr>
          <w:rFonts w:hint="eastAsia"/>
          <w:lang w:val="en-US" w:eastAsia="zh-CN"/>
        </w:rPr>
      </w:pPr>
      <w:r>
        <w:rPr>
          <w:rFonts w:hint="eastAsia"/>
          <w:lang w:val="en-US" w:eastAsia="zh-CN"/>
        </w:rPr>
        <w:t xml:space="preserve">Considering the R19 ATG CA is co-located deployment, the component of Cell search can be skipped.   </w:t>
      </w:r>
    </w:p>
    <w:p>
      <w:pPr>
        <w:pStyle w:val="9"/>
        <w:bidi w:val="0"/>
        <w:rPr>
          <w:rFonts w:hint="eastAsia"/>
          <w:b/>
          <w:bCs/>
          <w:lang w:val="en-US" w:eastAsia="zh-CN"/>
        </w:rPr>
      </w:pPr>
      <w:r>
        <w:rPr>
          <w:rFonts w:hint="eastAsia"/>
          <w:b/>
          <w:bCs/>
          <w:lang w:val="en-US" w:eastAsia="zh-CN"/>
        </w:rPr>
        <w:t>Observation 9: The component of cell search can be ignored.</w:t>
      </w:r>
    </w:p>
    <w:p>
      <w:pPr>
        <w:pStyle w:val="9"/>
        <w:bidi w:val="0"/>
        <w:rPr>
          <w:rFonts w:hint="eastAsia"/>
          <w:lang w:val="en-US" w:eastAsia="zh-CN"/>
        </w:rPr>
      </w:pPr>
      <w:r>
        <w:rPr>
          <w:rFonts w:hint="eastAsia"/>
          <w:lang w:val="en-US" w:eastAsia="zh-CN"/>
        </w:rPr>
        <w:t>Furthermore, the intention of L1 measurement&amp;report is to help NW to know the RSRP under different beam direction. Considering co-located deployment, the target SCell and active serving cell share similar beam coverage, so we believe this component can be skipped also.</w:t>
      </w:r>
    </w:p>
    <w:p>
      <w:pPr>
        <w:pStyle w:val="9"/>
        <w:bidi w:val="0"/>
        <w:rPr>
          <w:rFonts w:hint="default" w:cs="Arial"/>
          <w:b w:val="0"/>
          <w:bCs w:val="0"/>
          <w:u w:val="single"/>
          <w:lang w:val="en-US" w:eastAsia="zh-CN"/>
        </w:rPr>
      </w:pPr>
      <w:r>
        <w:rPr>
          <w:rFonts w:hint="eastAsia"/>
          <w:b/>
          <w:bCs/>
          <w:lang w:val="en-US" w:eastAsia="zh-CN"/>
        </w:rPr>
        <w:t>Observation 10: Due to co-located deployment, similar beam coverage shared between multiple serving cells, whether L1 meas&amp;report can be ignored, which can be discussed.</w:t>
      </w:r>
    </w:p>
    <w:p>
      <w:pPr>
        <w:pStyle w:val="9"/>
        <w:bidi w:val="0"/>
        <w:rPr>
          <w:rFonts w:hint="default" w:cs="Arial"/>
          <w:b w:val="0"/>
          <w:bCs w:val="0"/>
          <w:u w:val="single"/>
          <w:lang w:val="en-US" w:eastAsia="zh-CN"/>
        </w:rPr>
      </w:pPr>
      <w:r>
        <w:rPr>
          <w:rFonts w:hint="eastAsia" w:cs="Arial"/>
          <w:b w:val="0"/>
          <w:bCs w:val="0"/>
          <w:u w:val="single"/>
          <w:lang w:val="en-US" w:eastAsia="zh-CN"/>
        </w:rPr>
        <w:t>Unified TCI state indication for CA</w:t>
      </w:r>
    </w:p>
    <w:p>
      <w:pPr>
        <w:pStyle w:val="9"/>
        <w:bidi w:val="0"/>
        <w:rPr>
          <w:rFonts w:hint="eastAsia" w:eastAsiaTheme="minorEastAsia"/>
          <w:sz w:val="22"/>
          <w:lang w:val="en-US" w:eastAsia="zh-CN"/>
        </w:rPr>
      </w:pPr>
      <w:r>
        <w:rPr>
          <w:rFonts w:hint="eastAsia" w:eastAsiaTheme="minorEastAsia"/>
          <w:sz w:val="22"/>
          <w:lang w:val="en-US" w:eastAsia="zh-CN"/>
        </w:rPr>
        <w:t>For the unified TCI state switching for CA, CC group would be configured by NW. Once receiving the target TCI state indication, the target TCI state is applicable to all the serving cells within the CC group. We can not see potential enhancement for R19 ATG.</w:t>
      </w:r>
    </w:p>
    <w:p>
      <w:pPr>
        <w:pStyle w:val="9"/>
        <w:bidi w:val="0"/>
        <w:rPr>
          <w:rFonts w:hint="default"/>
          <w:b/>
          <w:bCs/>
          <w:lang w:val="en-US" w:eastAsia="zh-CN"/>
        </w:rPr>
      </w:pPr>
      <w:r>
        <w:rPr>
          <w:rFonts w:hint="eastAsia"/>
          <w:b/>
          <w:bCs/>
          <w:lang w:val="en-US" w:eastAsia="zh-CN"/>
        </w:rPr>
        <w:t>Observation 11: No impact on unified TCI state indication.</w:t>
      </w:r>
    </w:p>
    <w:p>
      <w:pPr>
        <w:pStyle w:val="9"/>
        <w:bidi w:val="0"/>
        <w:rPr>
          <w:rFonts w:hint="default"/>
          <w:b/>
          <w:bCs/>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Observation 1: The extension of co-located CA has no impact on the beam sweeping factor N defined in R18 ATG</w:t>
      </w:r>
    </w:p>
    <w:p>
      <w:pPr>
        <w:pStyle w:val="9"/>
        <w:bidi w:val="0"/>
        <w:rPr>
          <w:rFonts w:hint="default"/>
          <w:b/>
          <w:bCs/>
          <w:lang w:val="en-US" w:eastAsia="zh-CN"/>
        </w:rPr>
      </w:pPr>
      <w:r>
        <w:rPr>
          <w:rFonts w:hint="eastAsia"/>
          <w:b/>
          <w:bCs/>
          <w:lang w:val="en-US" w:eastAsia="zh-CN"/>
        </w:rPr>
        <w:t>Proposal 1: The discussion on CSSF calculation, supported cell number and SSB number, can be held separately for the assumption of omni-directional antenna and antenna array. The former is legacy FR1 like, and the latter is legacy FR2 like.</w:t>
      </w:r>
    </w:p>
    <w:p>
      <w:pPr>
        <w:pStyle w:val="9"/>
        <w:bidi w:val="0"/>
        <w:rPr>
          <w:rFonts w:hint="eastAsia"/>
          <w:b/>
          <w:bCs/>
          <w:lang w:val="en-US" w:eastAsia="zh-CN"/>
        </w:rPr>
      </w:pPr>
      <w:r>
        <w:rPr>
          <w:rFonts w:hint="eastAsia"/>
          <w:b/>
          <w:bCs/>
          <w:lang w:val="en-US" w:eastAsia="zh-CN"/>
        </w:rPr>
        <w:t>Proposal 2: Under the assumption of omni-directional antenna, directly reuse the legacy FR1 CSSF</w:t>
      </w:r>
      <w:r>
        <w:rPr>
          <w:rFonts w:hint="eastAsia"/>
          <w:b/>
          <w:bCs/>
          <w:sz w:val="13"/>
          <w:szCs w:val="13"/>
          <w:lang w:val="en-US" w:eastAsia="zh-CN"/>
        </w:rPr>
        <w:t>outside_gap</w:t>
      </w:r>
      <w:r>
        <w:rPr>
          <w:rFonts w:hint="eastAsia"/>
          <w:b/>
          <w:bCs/>
          <w:lang w:val="en-US" w:eastAsia="zh-CN"/>
        </w:rPr>
        <w:t xml:space="preserve"> calculation, supported cell number and SSB number. </w:t>
      </w:r>
    </w:p>
    <w:p>
      <w:pPr>
        <w:pStyle w:val="9"/>
        <w:bidi w:val="0"/>
        <w:rPr>
          <w:rFonts w:hint="eastAsia"/>
          <w:b/>
          <w:bCs/>
          <w:lang w:val="en-US" w:eastAsia="zh-CN"/>
        </w:rPr>
      </w:pPr>
      <w:r>
        <w:rPr>
          <w:rFonts w:hint="eastAsia"/>
          <w:b/>
          <w:bCs/>
          <w:lang w:val="en-US" w:eastAsia="zh-CN"/>
        </w:rPr>
        <w:t xml:space="preserve">Observation 2: Two searchers are assumed. The principle of allocation of two searchers in legacy FR1 and FR2 is somehow different. </w:t>
      </w:r>
    </w:p>
    <w:p>
      <w:pPr>
        <w:pStyle w:val="9"/>
        <w:bidi w:val="0"/>
        <w:rPr>
          <w:rFonts w:hint="eastAsia"/>
          <w:b/>
          <w:bCs/>
          <w:lang w:val="en-US" w:eastAsia="zh-CN"/>
        </w:rPr>
      </w:pPr>
      <w:r>
        <w:rPr>
          <w:rFonts w:hint="eastAsia"/>
          <w:b/>
          <w:bCs/>
          <w:lang w:val="en-US" w:eastAsia="zh-CN"/>
        </w:rPr>
        <w:t>Proposal 3: Under the assumption of omni-directional antenna, reuse the assumption of two searcher allocation strategy between all serving CCs and neighbour cells in legacy FR1. That is, PCC specifically uses the 1st searcher, all SCCs and intra-f/inter-f neighbour cells equally share the 2nd searcher.</w:t>
      </w:r>
    </w:p>
    <w:p>
      <w:pPr>
        <w:pStyle w:val="9"/>
        <w:bidi w:val="0"/>
        <w:rPr>
          <w:rFonts w:hint="default"/>
          <w:b/>
          <w:bCs/>
          <w:lang w:val="en-US" w:eastAsia="zh-CN"/>
        </w:rPr>
      </w:pPr>
      <w:r>
        <w:rPr>
          <w:rFonts w:hint="eastAsia"/>
          <w:b/>
          <w:bCs/>
          <w:lang w:val="en-US" w:eastAsia="zh-CN"/>
        </w:rPr>
        <w:t>Observation 3: In legacy FR2, only a single intra-frequency neighbour cell is allowed to measure per band.</w:t>
      </w:r>
    </w:p>
    <w:p>
      <w:pPr>
        <w:pStyle w:val="9"/>
        <w:bidi w:val="0"/>
        <w:rPr>
          <w:rFonts w:hint="default"/>
          <w:b/>
          <w:bCs/>
          <w:lang w:val="en-US" w:eastAsia="zh-CN"/>
        </w:rPr>
      </w:pPr>
      <w:r>
        <w:rPr>
          <w:rFonts w:hint="eastAsia"/>
          <w:b/>
          <w:bCs/>
          <w:lang w:val="en-US" w:eastAsia="zh-CN"/>
        </w:rPr>
        <w:t>Proposal 4: Under the assumption of antenna array, no need to leverage the legacy restriction on intra-f neighbour cell number per band in FR2. In other words, no additional restriction on the neighbour cell number allowed.</w:t>
      </w:r>
    </w:p>
    <w:p>
      <w:pPr>
        <w:pStyle w:val="9"/>
        <w:bidi w:val="0"/>
        <w:rPr>
          <w:rFonts w:hint="default"/>
          <w:b/>
          <w:bCs/>
          <w:lang w:val="en-US" w:eastAsia="zh-CN"/>
        </w:rPr>
      </w:pPr>
      <w:r>
        <w:rPr>
          <w:rFonts w:hint="eastAsia"/>
          <w:b/>
          <w:bCs/>
          <w:lang w:val="en-US" w:eastAsia="zh-CN"/>
        </w:rPr>
        <w:t>Proposal 5: Under the assumption of antenna array, reuse the assumption of two searcher allocation strategy between all serving CCs and neighbour cells in legacy FR1. That is, PCC specifically uses the 1</w:t>
      </w:r>
      <w:r>
        <w:rPr>
          <w:rFonts w:hint="eastAsia"/>
          <w:b/>
          <w:bCs/>
          <w:vertAlign w:val="superscript"/>
          <w:lang w:val="en-US" w:eastAsia="zh-CN"/>
        </w:rPr>
        <w:t>st</w:t>
      </w:r>
      <w:r>
        <w:rPr>
          <w:rFonts w:hint="eastAsia"/>
          <w:b/>
          <w:bCs/>
          <w:lang w:val="en-US" w:eastAsia="zh-CN"/>
        </w:rPr>
        <w:t xml:space="preserve"> searcher, all SCCs and intra-f/inter-f neighbour cells equally share the 2</w:t>
      </w:r>
      <w:r>
        <w:rPr>
          <w:rFonts w:hint="eastAsia"/>
          <w:b/>
          <w:bCs/>
          <w:vertAlign w:val="superscript"/>
          <w:lang w:val="en-US" w:eastAsia="zh-CN"/>
        </w:rPr>
        <w:t>nd</w:t>
      </w:r>
      <w:r>
        <w:rPr>
          <w:rFonts w:hint="eastAsia"/>
          <w:b/>
          <w:bCs/>
          <w:lang w:val="en-US" w:eastAsia="zh-CN"/>
        </w:rPr>
        <w:t xml:space="preserve"> searcher.(i.e. same as that for omni-directional antenna)</w:t>
      </w:r>
    </w:p>
    <w:p>
      <w:pPr>
        <w:pStyle w:val="9"/>
        <w:bidi w:val="0"/>
        <w:rPr>
          <w:rFonts w:hint="eastAsia"/>
          <w:b/>
          <w:bCs/>
          <w:lang w:val="en-US" w:eastAsia="zh-CN"/>
        </w:rPr>
      </w:pPr>
      <w:r>
        <w:rPr>
          <w:rFonts w:hint="eastAsia"/>
          <w:b/>
          <w:bCs/>
          <w:lang w:val="en-US" w:eastAsia="zh-CN"/>
        </w:rPr>
        <w:t>Observation 4: For the activated SCell measurement, no additional factor to consider, reuse same requirements as R18 ATG intra-f measurements.</w:t>
      </w:r>
    </w:p>
    <w:p>
      <w:pPr>
        <w:pStyle w:val="9"/>
        <w:bidi w:val="0"/>
        <w:rPr>
          <w:rFonts w:hint="default"/>
          <w:b/>
          <w:bCs/>
          <w:lang w:val="en-US" w:eastAsia="zh-CN"/>
        </w:rPr>
      </w:pPr>
      <w:r>
        <w:rPr>
          <w:rFonts w:hint="eastAsia"/>
          <w:b/>
          <w:bCs/>
          <w:lang w:val="en-US" w:eastAsia="zh-CN"/>
        </w:rPr>
        <w:t>Observation 5: For the deactivated SCell measurement, whether need to introduce smaller candidate of measCycleSCell to facilitate the small ISD ATG deployment, which can be considered.</w:t>
      </w:r>
    </w:p>
    <w:p>
      <w:pPr>
        <w:pStyle w:val="9"/>
        <w:bidi w:val="0"/>
        <w:rPr>
          <w:rFonts w:hint="eastAsia" w:cs="Arial"/>
          <w:b w:val="0"/>
          <w:bCs w:val="0"/>
          <w:u w:val="single"/>
          <w:lang w:val="en-US" w:eastAsia="zh-CN"/>
        </w:rPr>
      </w:pPr>
      <w:r>
        <w:rPr>
          <w:rFonts w:hint="eastAsia"/>
          <w:b/>
          <w:bCs/>
          <w:lang w:val="en-US" w:eastAsia="zh-CN"/>
        </w:rPr>
        <w:t>Proposal 6: the scheduling restriction extension to intra-band/inter-band CA should be identified. Which can be discussed for omni-directional antenna and antenna array separately.</w:t>
      </w:r>
    </w:p>
    <w:p>
      <w:pPr>
        <w:pStyle w:val="9"/>
        <w:bidi w:val="0"/>
        <w:rPr>
          <w:rFonts w:hint="default"/>
          <w:b/>
          <w:bCs/>
          <w:lang w:val="en-US" w:eastAsia="zh-CN"/>
        </w:rPr>
      </w:pPr>
      <w:r>
        <w:rPr>
          <w:rFonts w:hint="eastAsia"/>
          <w:b/>
          <w:bCs/>
          <w:lang w:val="en-US" w:eastAsia="zh-CN"/>
        </w:rPr>
        <w:t xml:space="preserve">Observation 6: In legacy(including R16/17/18), EMR only enables for the IDLE/INACTIVE state triggered by RRCRelease signalling. The IDLE/INACTIVE state caused by other reasons, including initial access and RLM/handover failure can not enable EMR. </w:t>
      </w:r>
    </w:p>
    <w:p>
      <w:pPr>
        <w:pStyle w:val="9"/>
        <w:bidi w:val="0"/>
        <w:rPr>
          <w:rFonts w:hint="default"/>
          <w:b/>
          <w:bCs/>
          <w:lang w:val="en-US" w:eastAsia="zh-CN"/>
        </w:rPr>
      </w:pPr>
      <w:r>
        <w:rPr>
          <w:rFonts w:hint="eastAsia"/>
          <w:b/>
          <w:bCs/>
          <w:lang w:val="en-US" w:eastAsia="zh-CN"/>
        </w:rPr>
        <w:t>Proposal 7: Considering the CPE would be always online during one trip of flight, the applicable condition of EMR would not happen, so no need to consider EMR in R19 ATG.</w:t>
      </w:r>
    </w:p>
    <w:p>
      <w:pPr>
        <w:pStyle w:val="9"/>
        <w:bidi w:val="0"/>
        <w:rPr>
          <w:rFonts w:hint="eastAsia"/>
          <w:b/>
          <w:bCs/>
          <w:lang w:val="en-US" w:eastAsia="zh-CN"/>
        </w:rPr>
      </w:pPr>
      <w:r>
        <w:rPr>
          <w:rFonts w:hint="eastAsia"/>
          <w:b/>
          <w:bCs/>
          <w:lang w:val="en-US" w:eastAsia="zh-CN"/>
        </w:rPr>
        <w:t>Observation 7: No impact on R18 ATG handover/CHO. Not need additional enhancement.</w:t>
      </w:r>
    </w:p>
    <w:p>
      <w:pPr>
        <w:pStyle w:val="9"/>
        <w:bidi w:val="0"/>
        <w:rPr>
          <w:rFonts w:hint="default"/>
          <w:b/>
          <w:bCs/>
          <w:lang w:val="en-US" w:eastAsia="zh-CN"/>
        </w:rPr>
      </w:pPr>
      <w:r>
        <w:rPr>
          <w:rFonts w:hint="eastAsia"/>
          <w:b/>
          <w:bCs/>
          <w:lang w:val="en-US" w:eastAsia="zh-CN"/>
        </w:rPr>
        <w:t>Observation 8: For both omni-directional antenna and antenna array assumption, reuse existing interruption requirements of SCell addition/release.</w:t>
      </w:r>
    </w:p>
    <w:p>
      <w:pPr>
        <w:pStyle w:val="9"/>
        <w:bidi w:val="0"/>
        <w:rPr>
          <w:rFonts w:hint="eastAsia"/>
          <w:b/>
          <w:bCs/>
          <w:lang w:val="en-US" w:eastAsia="zh-CN"/>
        </w:rPr>
      </w:pPr>
      <w:r>
        <w:rPr>
          <w:rFonts w:hint="eastAsia"/>
          <w:b/>
          <w:bCs/>
          <w:lang w:val="en-US" w:eastAsia="zh-CN"/>
        </w:rPr>
        <w:t>Observation 9: The component of cell search can be ignored.</w:t>
      </w:r>
    </w:p>
    <w:p>
      <w:pPr>
        <w:pStyle w:val="9"/>
        <w:bidi w:val="0"/>
        <w:rPr>
          <w:rFonts w:hint="eastAsia"/>
          <w:b/>
          <w:bCs/>
          <w:lang w:val="en-US" w:eastAsia="zh-CN"/>
        </w:rPr>
      </w:pPr>
      <w:r>
        <w:rPr>
          <w:rFonts w:hint="eastAsia"/>
          <w:b/>
          <w:bCs/>
          <w:lang w:val="en-US" w:eastAsia="zh-CN"/>
        </w:rPr>
        <w:t>Observation 10: Due to co-located deployment, similar beam coverage shared between multiple serving cells, whether L1 meas&amp;report can be ignored, which can be discussed.</w:t>
      </w:r>
    </w:p>
    <w:p>
      <w:pPr>
        <w:pStyle w:val="9"/>
        <w:bidi w:val="0"/>
        <w:rPr>
          <w:rFonts w:hint="default"/>
          <w:b/>
          <w:bCs/>
          <w:lang w:val="en-US" w:eastAsia="zh-CN"/>
        </w:rPr>
      </w:pPr>
      <w:r>
        <w:rPr>
          <w:rFonts w:hint="eastAsia"/>
          <w:b/>
          <w:bCs/>
          <w:lang w:val="en-US" w:eastAsia="zh-CN"/>
        </w:rPr>
        <w:t>Observation 11: No impact on unified TCI state indication.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RP-240839, New WID: New WID on Enhancements for Air-to-ground network for NR, 3GPP TSG RAN Meeting #10</w:t>
      </w:r>
      <w:bookmarkEnd w:id="0"/>
      <w:r>
        <w:rPr>
          <w:rFonts w:hint="eastAsia"/>
          <w:color w:val="auto"/>
          <w:sz w:val="20"/>
          <w:szCs w:val="20"/>
          <w:highlight w:val="none"/>
          <w:lang w:val="en-US" w:eastAsia="zh-CN"/>
        </w:rPr>
        <w:t>3.</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TS38.133_i50.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6C244"/>
    <w:multiLevelType w:val="singleLevel"/>
    <w:tmpl w:val="9796C244"/>
    <w:lvl w:ilvl="0" w:tentative="0">
      <w:start w:val="1"/>
      <w:numFmt w:val="bullet"/>
      <w:lvlText w:val=""/>
      <w:lvlJc w:val="left"/>
      <w:pPr>
        <w:ind w:left="420" w:hanging="420"/>
      </w:pPr>
      <w:rPr>
        <w:rFonts w:hint="default" w:ascii="Wingdings" w:hAnsi="Wingdings"/>
      </w:rPr>
    </w:lvl>
  </w:abstractNum>
  <w:abstractNum w:abstractNumId="1">
    <w:nsid w:val="ACBBF3E0"/>
    <w:multiLevelType w:val="singleLevel"/>
    <w:tmpl w:val="ACBBF3E0"/>
    <w:lvl w:ilvl="0" w:tentative="0">
      <w:start w:val="1"/>
      <w:numFmt w:val="bullet"/>
      <w:lvlText w:val=""/>
      <w:lvlJc w:val="left"/>
      <w:pPr>
        <w:ind w:left="420" w:hanging="420"/>
      </w:pPr>
      <w:rPr>
        <w:rFonts w:hint="default" w:ascii="Wingdings" w:hAnsi="Wingdings"/>
      </w:rPr>
    </w:lvl>
  </w:abstractNum>
  <w:abstractNum w:abstractNumId="2">
    <w:nsid w:val="C2083B62"/>
    <w:multiLevelType w:val="singleLevel"/>
    <w:tmpl w:val="C2083B62"/>
    <w:lvl w:ilvl="0" w:tentative="0">
      <w:start w:val="1"/>
      <w:numFmt w:val="bullet"/>
      <w:lvlText w:val=""/>
      <w:lvlJc w:val="left"/>
      <w:pPr>
        <w:tabs>
          <w:tab w:val="left" w:pos="420"/>
        </w:tabs>
        <w:ind w:left="840" w:hanging="420"/>
      </w:pPr>
      <w:rPr>
        <w:rFonts w:hint="default" w:ascii="Wingdings" w:hAnsi="Wingdings"/>
      </w:rPr>
    </w:lvl>
  </w:abstractNum>
  <w:abstractNum w:abstractNumId="3">
    <w:nsid w:val="DC4FDA6D"/>
    <w:multiLevelType w:val="singleLevel"/>
    <w:tmpl w:val="DC4FDA6D"/>
    <w:lvl w:ilvl="0" w:tentative="0">
      <w:start w:val="1"/>
      <w:numFmt w:val="decimal"/>
      <w:suff w:val="space"/>
      <w:lvlText w:val="[%1]"/>
      <w:lvlJc w:val="left"/>
    </w:lvl>
  </w:abstractNum>
  <w:abstractNum w:abstractNumId="4">
    <w:nsid w:val="F814A707"/>
    <w:multiLevelType w:val="singleLevel"/>
    <w:tmpl w:val="F814A707"/>
    <w:lvl w:ilvl="0" w:tentative="0">
      <w:start w:val="1"/>
      <w:numFmt w:val="bullet"/>
      <w:lvlText w:val=""/>
      <w:lvlJc w:val="left"/>
      <w:pPr>
        <w:tabs>
          <w:tab w:val="left" w:pos="420"/>
        </w:tabs>
        <w:ind w:left="84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F3181B1"/>
    <w:multiLevelType w:val="singleLevel"/>
    <w:tmpl w:val="3F3181B1"/>
    <w:lvl w:ilvl="0" w:tentative="0">
      <w:start w:val="1"/>
      <w:numFmt w:val="bullet"/>
      <w:lvlText w:val=""/>
      <w:lvlJc w:val="left"/>
      <w:pPr>
        <w:ind w:left="420" w:hanging="420"/>
      </w:pPr>
      <w:rPr>
        <w:rFonts w:hint="default" w:ascii="Wingdings" w:hAnsi="Wingdings"/>
      </w:rPr>
    </w:lvl>
  </w:abstractNum>
  <w:abstractNum w:abstractNumId="8">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1">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1"/>
  </w:num>
  <w:num w:numId="2">
    <w:abstractNumId w:val="9"/>
  </w:num>
  <w:num w:numId="3">
    <w:abstractNumId w:val="8"/>
  </w:num>
  <w:num w:numId="4">
    <w:abstractNumId w:val="5"/>
  </w:num>
  <w:num w:numId="5">
    <w:abstractNumId w:val="6"/>
  </w:num>
  <w:num w:numId="6">
    <w:abstractNumId w:val="0"/>
  </w:num>
  <w:num w:numId="7">
    <w:abstractNumId w:val="4"/>
  </w:num>
  <w:num w:numId="8">
    <w:abstractNumId w:val="10"/>
  </w:num>
  <w:num w:numId="9">
    <w:abstractNumId w:val="7"/>
  </w:num>
  <w:num w:numId="10">
    <w:abstractNumId w:val="1"/>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2024-08-09T15:51:14Z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